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960" w:rsidRDefault="007A270D" w:rsidP="007A270D">
      <w:pPr>
        <w:pStyle w:val="Titredocument"/>
        <w:spacing w:after="0" w:afterAutospacing="0" w:line="360" w:lineRule="auto"/>
        <w:contextualSpacing/>
        <w:rPr>
          <w:rStyle w:val="Sous-titredocumentCar"/>
          <w:rFonts w:ascii="Verdana" w:hAnsi="Verdana"/>
          <w:b/>
          <w:color w:val="48D7AB"/>
          <w:sz w:val="40"/>
          <w:szCs w:val="40"/>
        </w:rPr>
      </w:pPr>
      <w:r>
        <w:rPr>
          <w:rStyle w:val="Sous-titredocumentCar"/>
          <w:rFonts w:ascii="Verdana" w:hAnsi="Verdana"/>
          <w:b/>
          <w:color w:val="48D7AB"/>
          <w:sz w:val="40"/>
          <w:szCs w:val="40"/>
        </w:rPr>
        <w:t>Programme de l’accueil de l’association des journalistes du patrimoine</w:t>
      </w:r>
    </w:p>
    <w:p w:rsidR="007A270D" w:rsidRDefault="007A270D" w:rsidP="007A270D">
      <w:pPr>
        <w:pStyle w:val="Titredocument"/>
        <w:spacing w:after="0" w:afterAutospacing="0" w:line="360" w:lineRule="auto"/>
        <w:contextualSpacing/>
        <w:rPr>
          <w:rStyle w:val="Sous-titredocumentCar"/>
          <w:rFonts w:ascii="Verdana" w:hAnsi="Verdana"/>
          <w:bCs/>
          <w:color w:val="000000" w:themeColor="text1"/>
          <w:sz w:val="32"/>
          <w:szCs w:val="32"/>
        </w:rPr>
      </w:pPr>
      <w:r w:rsidRPr="007A270D">
        <w:rPr>
          <w:rStyle w:val="Sous-titredocumentCar"/>
          <w:rFonts w:ascii="Verdana" w:hAnsi="Verdana"/>
          <w:bCs/>
          <w:color w:val="000000" w:themeColor="text1"/>
          <w:sz w:val="32"/>
          <w:szCs w:val="32"/>
        </w:rPr>
        <w:t xml:space="preserve">Mardi 3 février 2025 de 17h </w:t>
      </w:r>
      <w:r>
        <w:rPr>
          <w:rStyle w:val="Sous-titredocumentCar"/>
          <w:rFonts w:ascii="Verdana" w:hAnsi="Verdana"/>
          <w:bCs/>
          <w:color w:val="000000" w:themeColor="text1"/>
          <w:sz w:val="32"/>
          <w:szCs w:val="32"/>
        </w:rPr>
        <w:t>à 20h</w:t>
      </w:r>
    </w:p>
    <w:p w:rsidR="007A270D" w:rsidRPr="00DA64E8" w:rsidRDefault="007A270D" w:rsidP="007A270D">
      <w:pPr>
        <w:pStyle w:val="Titredocument"/>
        <w:spacing w:after="0" w:afterAutospacing="0" w:line="360" w:lineRule="auto"/>
        <w:contextualSpacing/>
        <w:rPr>
          <w:rStyle w:val="Sous-titredocumentCar"/>
          <w:rFonts w:ascii="Verdana" w:hAnsi="Verdana"/>
          <w:bCs/>
          <w:color w:val="000000" w:themeColor="text1"/>
          <w:sz w:val="32"/>
          <w:szCs w:val="32"/>
        </w:rPr>
      </w:pPr>
    </w:p>
    <w:p w:rsidR="007A270D" w:rsidRPr="00DA64E8" w:rsidRDefault="004F2F38" w:rsidP="007A270D">
      <w:pPr>
        <w:pStyle w:val="Titredocument"/>
        <w:spacing w:after="0" w:afterAutospacing="0" w:line="360" w:lineRule="auto"/>
        <w:contextualSpacing/>
        <w:rPr>
          <w:rStyle w:val="Sous-titredocumentCar"/>
          <w:rFonts w:ascii="Verdana" w:hAnsi="Verdana"/>
          <w:b/>
          <w:color w:val="48D7AB"/>
          <w:sz w:val="32"/>
          <w:szCs w:val="32"/>
        </w:rPr>
      </w:pPr>
      <w:r>
        <w:rPr>
          <w:rStyle w:val="Sous-titredocumentCar"/>
          <w:rFonts w:ascii="Verdana" w:hAnsi="Verdana"/>
          <w:b/>
          <w:color w:val="48D7AB"/>
          <w:sz w:val="32"/>
          <w:szCs w:val="32"/>
        </w:rPr>
        <w:t>Visite guidée | 17h00</w:t>
      </w:r>
      <w:r w:rsidR="007A270D" w:rsidRPr="00DA64E8">
        <w:rPr>
          <w:rStyle w:val="Sous-titredocumentCar"/>
          <w:rFonts w:ascii="Verdana" w:hAnsi="Verdana"/>
          <w:b/>
          <w:color w:val="48D7AB"/>
          <w:sz w:val="32"/>
          <w:szCs w:val="32"/>
        </w:rPr>
        <w:t>-18h</w:t>
      </w:r>
      <w:r>
        <w:rPr>
          <w:rStyle w:val="Sous-titredocumentCar"/>
          <w:rFonts w:ascii="Verdana" w:hAnsi="Verdana"/>
          <w:b/>
          <w:color w:val="48D7AB"/>
          <w:sz w:val="32"/>
          <w:szCs w:val="32"/>
        </w:rPr>
        <w:t>30</w:t>
      </w:r>
    </w:p>
    <w:p w:rsidR="00DA64E8" w:rsidRPr="00DA64E8" w:rsidRDefault="00DA64E8" w:rsidP="00DA64E8">
      <w:pPr>
        <w:pStyle w:val="Sous-titredocument"/>
        <w:spacing w:line="360" w:lineRule="auto"/>
        <w:contextualSpacing/>
        <w:rPr>
          <w:rFonts w:ascii="Verdana" w:hAnsi="Verdana"/>
        </w:rPr>
      </w:pPr>
      <w:r w:rsidRPr="007A270D">
        <w:rPr>
          <w:rFonts w:ascii="Verdana" w:hAnsi="Verdana"/>
        </w:rPr>
        <w:t>Fondation Deutsch de la Meurthe</w:t>
      </w:r>
    </w:p>
    <w:p w:rsidR="00DA64E8" w:rsidRDefault="00DA64E8" w:rsidP="00DA64E8">
      <w:pPr>
        <w:contextualSpacing/>
        <w:jc w:val="both"/>
        <w:rPr>
          <w:rFonts w:ascii="Verdana" w:hAnsi="Verdana"/>
          <w:b/>
          <w:bCs/>
          <w:sz w:val="32"/>
          <w:szCs w:val="32"/>
        </w:rPr>
      </w:pPr>
      <w:r w:rsidRPr="007A270D">
        <w:rPr>
          <w:rFonts w:ascii="Verdana" w:hAnsi="Verdana"/>
          <w:noProof/>
          <w:lang w:bidi="ar-SA"/>
        </w:rPr>
        <w:drawing>
          <wp:inline distT="0" distB="0" distL="0" distR="0">
            <wp:extent cx="3228109" cy="1983052"/>
            <wp:effectExtent l="0" t="0" r="0" b="0"/>
            <wp:docPr id="817387538" name="Image 1" descr="Une image contenant plein air, ciel, bâtiment,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87538" name="Image 1" descr="Une image contenant plein air, ciel, bâtiment, herbe&#10;&#10;Le contenu généré par l’IA peut être incorrect."/>
                    <pic:cNvPicPr/>
                  </pic:nvPicPr>
                  <pic:blipFill>
                    <a:blip r:embed="rId12" cstate="print"/>
                    <a:stretch>
                      <a:fillRect/>
                    </a:stretch>
                  </pic:blipFill>
                  <pic:spPr>
                    <a:xfrm>
                      <a:off x="0" y="0"/>
                      <a:ext cx="3235958" cy="1987873"/>
                    </a:xfrm>
                    <a:prstGeom prst="rect">
                      <a:avLst/>
                    </a:prstGeom>
                  </pic:spPr>
                </pic:pic>
              </a:graphicData>
            </a:graphic>
          </wp:inline>
        </w:drawing>
      </w:r>
    </w:p>
    <w:p w:rsidR="00DA64E8" w:rsidRPr="007A270D" w:rsidRDefault="00DA64E8" w:rsidP="00DA64E8">
      <w:pPr>
        <w:contextualSpacing/>
        <w:jc w:val="both"/>
        <w:rPr>
          <w:rFonts w:ascii="Verdana" w:hAnsi="Verdana"/>
          <w:sz w:val="16"/>
          <w:szCs w:val="16"/>
        </w:rPr>
      </w:pPr>
      <w:r w:rsidRPr="007A270D">
        <w:rPr>
          <w:rFonts w:ascii="Verdana" w:hAnsi="Verdana"/>
          <w:sz w:val="16"/>
          <w:szCs w:val="16"/>
        </w:rPr>
        <w:t>© </w:t>
      </w:r>
      <w:r>
        <w:rPr>
          <w:rFonts w:ascii="Verdana" w:hAnsi="Verdana"/>
          <w:sz w:val="16"/>
          <w:szCs w:val="16"/>
        </w:rPr>
        <w:t xml:space="preserve">Antoine Meyssonnier </w:t>
      </w:r>
    </w:p>
    <w:p w:rsidR="00DA64E8" w:rsidRPr="007A270D" w:rsidRDefault="00DA64E8" w:rsidP="00DA64E8">
      <w:pPr>
        <w:contextualSpacing/>
        <w:jc w:val="both"/>
        <w:rPr>
          <w:rFonts w:ascii="Verdana" w:hAnsi="Verdana"/>
          <w:b/>
          <w:bCs/>
        </w:rPr>
      </w:pPr>
    </w:p>
    <w:p w:rsidR="00DA64E8" w:rsidRPr="007A270D" w:rsidRDefault="00DA64E8" w:rsidP="00DA64E8">
      <w:pPr>
        <w:spacing w:after="160" w:line="278" w:lineRule="auto"/>
        <w:contextualSpacing/>
        <w:jc w:val="both"/>
        <w:rPr>
          <w:rFonts w:ascii="Verdana" w:hAnsi="Verdana"/>
          <w:b/>
          <w:bCs/>
        </w:rPr>
      </w:pPr>
      <w:r w:rsidRPr="007A270D">
        <w:rPr>
          <w:rFonts w:ascii="Verdana" w:hAnsi="Verdana"/>
          <w:b/>
          <w:bCs/>
        </w:rPr>
        <w:t>Histoire et architecture de la maison</w:t>
      </w:r>
    </w:p>
    <w:p w:rsidR="00DA64E8" w:rsidRDefault="00DA64E8" w:rsidP="00DA64E8">
      <w:pPr>
        <w:contextualSpacing/>
        <w:jc w:val="both"/>
        <w:rPr>
          <w:rFonts w:ascii="Verdana" w:hAnsi="Verdana"/>
          <w:sz w:val="22"/>
        </w:rPr>
      </w:pPr>
      <w:r w:rsidRPr="007A270D">
        <w:rPr>
          <w:rFonts w:ascii="Verdana" w:hAnsi="Verdana"/>
          <w:sz w:val="22"/>
        </w:rPr>
        <w:t>Première résidence construite à la Cité internationale en 1925, la Fondation Deutsch de la Meurthe est née de la rencontre entre Paul Appell, mathématicien devenu recteur de l’Université de Paris et Émile Deutsch de la Meurthe, riche industriel lorrain qui fit fortune dans le domaine des huiles minérales et créateur avec son frère, Henry, des Pétroles Jupiter, qui deviendront le groupe Shell en 1948.</w:t>
      </w:r>
    </w:p>
    <w:p w:rsidR="00DA64E8" w:rsidRPr="007A270D" w:rsidRDefault="00DA64E8" w:rsidP="00DA64E8">
      <w:pPr>
        <w:contextualSpacing/>
        <w:jc w:val="both"/>
        <w:rPr>
          <w:rFonts w:ascii="Verdana" w:hAnsi="Verdana"/>
          <w:sz w:val="22"/>
        </w:rPr>
      </w:pPr>
    </w:p>
    <w:p w:rsidR="00DA64E8" w:rsidRPr="007A270D" w:rsidRDefault="00DA64E8" w:rsidP="00DA64E8">
      <w:pPr>
        <w:spacing w:after="160" w:line="278" w:lineRule="auto"/>
        <w:contextualSpacing/>
        <w:jc w:val="both"/>
        <w:rPr>
          <w:rFonts w:ascii="Verdana" w:hAnsi="Verdana"/>
          <w:b/>
          <w:bCs/>
        </w:rPr>
      </w:pPr>
      <w:r w:rsidRPr="007A270D">
        <w:rPr>
          <w:rFonts w:ascii="Verdana" w:hAnsi="Verdana"/>
          <w:b/>
          <w:bCs/>
        </w:rPr>
        <w:t>La première maison de la Cité internationale</w:t>
      </w:r>
    </w:p>
    <w:p w:rsidR="00DA64E8" w:rsidRPr="007A270D" w:rsidRDefault="00DA64E8" w:rsidP="00DA64E8">
      <w:pPr>
        <w:spacing w:after="160" w:line="278" w:lineRule="auto"/>
        <w:contextualSpacing/>
        <w:jc w:val="both"/>
        <w:rPr>
          <w:rFonts w:ascii="Verdana" w:hAnsi="Verdana"/>
          <w:sz w:val="22"/>
        </w:rPr>
      </w:pPr>
      <w:r w:rsidRPr="007A270D">
        <w:rPr>
          <w:rFonts w:ascii="Verdana" w:hAnsi="Verdana"/>
          <w:sz w:val="22"/>
        </w:rPr>
        <w:t>La Fondation Deutsch de la Meurthe a été la première à voir le jour à La Cité internationale. Elle est le fruit d’une initiative privée. Issu d’une grande famille de mécènes, Émile Deutsch de la Meurthe a financé avec son épouse, Louise, la construction des sept pavillons de la Fondation. Le mécène a décidé d’emblée de consacrer 10 millions de francs or à ce projet, mais uniquement si la création de la Cité universitaire était votée dans un délai maximum d’un an. La loi paraîtra au journal officiel le 29 juin 1921, soit la veille de l’ultimatum. Les travaux ont débuté en mai 1923. La Fondation Deutsch de la Meurthe a été inaugurée au printemps 1925.</w:t>
      </w:r>
    </w:p>
    <w:p w:rsidR="00DA64E8" w:rsidRDefault="00DA64E8" w:rsidP="00DA64E8">
      <w:pPr>
        <w:spacing w:after="160" w:line="278" w:lineRule="auto"/>
        <w:contextualSpacing/>
        <w:jc w:val="both"/>
        <w:rPr>
          <w:rFonts w:ascii="Verdana" w:hAnsi="Verdana"/>
          <w:sz w:val="22"/>
        </w:rPr>
      </w:pPr>
      <w:r w:rsidRPr="007A270D">
        <w:rPr>
          <w:rFonts w:ascii="Verdana" w:hAnsi="Verdana"/>
          <w:sz w:val="22"/>
        </w:rPr>
        <w:t>La Fondation Deutsch de la Meurthe est gérée par la fondation nationale Cité internationale universitaire de Paris.</w:t>
      </w:r>
    </w:p>
    <w:p w:rsidR="00DA64E8" w:rsidRPr="007A270D" w:rsidRDefault="00DA64E8" w:rsidP="00DA64E8">
      <w:pPr>
        <w:spacing w:after="160" w:line="278" w:lineRule="auto"/>
        <w:contextualSpacing/>
        <w:jc w:val="both"/>
        <w:rPr>
          <w:rFonts w:ascii="Verdana" w:hAnsi="Verdana"/>
          <w:sz w:val="22"/>
        </w:rPr>
      </w:pPr>
    </w:p>
    <w:p w:rsidR="00DA64E8" w:rsidRPr="007A270D" w:rsidRDefault="00DA64E8" w:rsidP="00DA64E8">
      <w:pPr>
        <w:spacing w:after="160" w:line="278" w:lineRule="auto"/>
        <w:contextualSpacing/>
        <w:jc w:val="both"/>
        <w:rPr>
          <w:rFonts w:ascii="Verdana" w:hAnsi="Verdana"/>
          <w:b/>
          <w:bCs/>
        </w:rPr>
      </w:pPr>
      <w:r w:rsidRPr="007A270D">
        <w:rPr>
          <w:rFonts w:ascii="Verdana" w:hAnsi="Verdana"/>
          <w:b/>
          <w:bCs/>
        </w:rPr>
        <w:lastRenderedPageBreak/>
        <w:t>Une architecture inspirée des collèges anglais d'outre-Manche</w:t>
      </w:r>
    </w:p>
    <w:p w:rsidR="00DA64E8" w:rsidRDefault="00DA64E8" w:rsidP="00DA64E8">
      <w:pPr>
        <w:spacing w:after="160" w:line="278" w:lineRule="auto"/>
        <w:contextualSpacing/>
        <w:jc w:val="both"/>
        <w:rPr>
          <w:rFonts w:ascii="Verdana" w:hAnsi="Verdana"/>
          <w:sz w:val="22"/>
        </w:rPr>
      </w:pPr>
      <w:r w:rsidRPr="007A270D">
        <w:rPr>
          <w:rFonts w:ascii="Verdana" w:hAnsi="Verdana"/>
          <w:sz w:val="22"/>
        </w:rPr>
        <w:t>Les plans ont été dressés par l’architecte Lucien Bechmann, qui sera l’architecte conseil de la Cité internationale pendant trente ans. Inspiré par les cités-jardins du début du XXe siècle et les collèges anglais d’outre-Manche comme Oxford ou Cambridge, il a adopté un style régionaliste. C’est sur la base d’un plan parfaitement symétrique qu’il a projeté sept pavillons articulés autour d’un espace vert central. Six d’entre eux étaient réservés à l’hébergement des étudiants, les étudiantes étant logées dans le pavillon Pierre et Marie Curie jusqu’aux années 70. Ces pavillons portent le nom de scientifiques et d’universitaires.</w:t>
      </w:r>
    </w:p>
    <w:p w:rsidR="00DA64E8" w:rsidRPr="007A270D" w:rsidRDefault="00DA64E8" w:rsidP="00DA64E8">
      <w:pPr>
        <w:spacing w:after="160" w:line="278" w:lineRule="auto"/>
        <w:contextualSpacing/>
        <w:jc w:val="both"/>
        <w:rPr>
          <w:rFonts w:ascii="Verdana" w:hAnsi="Verdana"/>
          <w:sz w:val="22"/>
        </w:rPr>
      </w:pPr>
    </w:p>
    <w:p w:rsidR="00DA64E8" w:rsidRPr="007A270D" w:rsidRDefault="00DA64E8" w:rsidP="00DA64E8">
      <w:pPr>
        <w:spacing w:after="160" w:line="278" w:lineRule="auto"/>
        <w:contextualSpacing/>
        <w:jc w:val="both"/>
        <w:rPr>
          <w:rFonts w:ascii="Verdana" w:hAnsi="Verdana"/>
          <w:b/>
          <w:bCs/>
        </w:rPr>
      </w:pPr>
      <w:r w:rsidRPr="007A270D">
        <w:rPr>
          <w:rFonts w:ascii="Verdana" w:hAnsi="Verdana"/>
          <w:b/>
          <w:bCs/>
        </w:rPr>
        <w:t>Des rénovations successives</w:t>
      </w:r>
    </w:p>
    <w:p w:rsidR="00DA64E8" w:rsidRDefault="00DA64E8" w:rsidP="00DA64E8">
      <w:pPr>
        <w:spacing w:after="160" w:line="278" w:lineRule="auto"/>
        <w:contextualSpacing/>
        <w:jc w:val="both"/>
        <w:rPr>
          <w:rFonts w:ascii="Verdana" w:hAnsi="Verdana"/>
          <w:sz w:val="22"/>
        </w:rPr>
      </w:pPr>
      <w:r w:rsidRPr="007A270D">
        <w:rPr>
          <w:rFonts w:ascii="Verdana" w:hAnsi="Verdana"/>
          <w:sz w:val="22"/>
        </w:rPr>
        <w:t>A partir de 2005, une réhabilitation des pavillons par tranches successives a été engagée, visant à la restauration des façades et des toitures ainsi qu’à l’amélioration du confort des chambres. Les trois pavillons Pierre et Marie Curie, Pasteur et Gréard ont été les premiers à bénéficier d’une rénovation.</w:t>
      </w:r>
    </w:p>
    <w:p w:rsidR="00DA64E8" w:rsidRPr="007A270D" w:rsidRDefault="00DA64E8" w:rsidP="00DA64E8">
      <w:pPr>
        <w:spacing w:after="160" w:line="278" w:lineRule="auto"/>
        <w:contextualSpacing/>
        <w:jc w:val="both"/>
        <w:rPr>
          <w:rFonts w:ascii="Verdana" w:hAnsi="Verdana"/>
          <w:sz w:val="22"/>
        </w:rPr>
      </w:pPr>
    </w:p>
    <w:p w:rsidR="00DA64E8" w:rsidRPr="007A270D" w:rsidRDefault="00DA64E8" w:rsidP="00DA64E8">
      <w:pPr>
        <w:spacing w:after="160" w:line="278" w:lineRule="auto"/>
        <w:contextualSpacing/>
        <w:jc w:val="both"/>
        <w:rPr>
          <w:rFonts w:ascii="Verdana" w:hAnsi="Verdana"/>
          <w:b/>
          <w:bCs/>
        </w:rPr>
      </w:pPr>
      <w:r w:rsidRPr="007A270D">
        <w:rPr>
          <w:rFonts w:ascii="Verdana" w:hAnsi="Verdana"/>
          <w:b/>
          <w:bCs/>
        </w:rPr>
        <w:t>Monuments historiques</w:t>
      </w:r>
    </w:p>
    <w:p w:rsidR="00DA64E8" w:rsidRDefault="00DA64E8" w:rsidP="00DA64E8">
      <w:pPr>
        <w:spacing w:after="160" w:line="278" w:lineRule="auto"/>
        <w:contextualSpacing/>
        <w:jc w:val="both"/>
        <w:rPr>
          <w:rFonts w:ascii="Verdana" w:hAnsi="Verdana"/>
          <w:sz w:val="22"/>
        </w:rPr>
      </w:pPr>
      <w:r w:rsidRPr="007A270D">
        <w:rPr>
          <w:rFonts w:ascii="Verdana" w:hAnsi="Verdana"/>
          <w:sz w:val="22"/>
        </w:rPr>
        <w:t>En 1998, les toitures des pavillons, les jardins, les terrasses dallées, ainsi que le vestibule et le grand salon du pavillon central ont été inscrits à l’inventaire supplémentaire des monuments historiques. Depuis février 2024, la totalité du pavillon central de la fondation est inscrit. La maison dispose de 347 logements.</w:t>
      </w:r>
    </w:p>
    <w:p w:rsidR="00DA64E8" w:rsidRPr="007A270D" w:rsidRDefault="00DA64E8" w:rsidP="00DA64E8">
      <w:pPr>
        <w:spacing w:after="160" w:line="278" w:lineRule="auto"/>
        <w:contextualSpacing/>
        <w:jc w:val="both"/>
        <w:rPr>
          <w:rFonts w:ascii="Verdana" w:hAnsi="Verdana"/>
          <w:sz w:val="22"/>
        </w:rPr>
      </w:pPr>
    </w:p>
    <w:p w:rsidR="00DA64E8" w:rsidRPr="007A270D" w:rsidRDefault="00DA64E8" w:rsidP="00DA64E8">
      <w:pPr>
        <w:spacing w:after="160" w:line="278" w:lineRule="auto"/>
        <w:contextualSpacing/>
        <w:jc w:val="both"/>
        <w:rPr>
          <w:rFonts w:ascii="Verdana" w:hAnsi="Verdana"/>
          <w:b/>
          <w:bCs/>
        </w:rPr>
      </w:pPr>
      <w:r w:rsidRPr="007A270D">
        <w:rPr>
          <w:rFonts w:ascii="Verdana" w:hAnsi="Verdana"/>
          <w:b/>
          <w:bCs/>
        </w:rPr>
        <w:t>Alumni célèbres</w:t>
      </w:r>
    </w:p>
    <w:p w:rsidR="00DA64E8" w:rsidRDefault="00DA64E8" w:rsidP="00DA64E8">
      <w:pPr>
        <w:spacing w:after="160" w:line="278" w:lineRule="auto"/>
        <w:contextualSpacing/>
        <w:jc w:val="both"/>
        <w:rPr>
          <w:rFonts w:ascii="Verdana" w:hAnsi="Verdana"/>
          <w:sz w:val="22"/>
        </w:rPr>
      </w:pPr>
      <w:r w:rsidRPr="007A270D">
        <w:rPr>
          <w:rFonts w:ascii="Verdana" w:hAnsi="Verdana"/>
          <w:sz w:val="22"/>
        </w:rPr>
        <w:t>De nombreux résidents illustres ont séjourné dans cette résidence, notamment les écrivains et philosophes Jean-Paul Sartre et Paul Nizan, les hommes politiques Léopold Sédar Senghor et Habib Bourguiba ou le réalisateur grec Theo Angelopoulos.</w:t>
      </w:r>
    </w:p>
    <w:p w:rsidR="00DA64E8" w:rsidRDefault="00DA64E8" w:rsidP="00DA64E8">
      <w:pPr>
        <w:spacing w:after="160" w:line="278" w:lineRule="auto"/>
        <w:contextualSpacing/>
        <w:jc w:val="both"/>
        <w:rPr>
          <w:rFonts w:ascii="Verdana" w:hAnsi="Verdana"/>
          <w:sz w:val="22"/>
        </w:rPr>
      </w:pPr>
    </w:p>
    <w:p w:rsidR="007A270D" w:rsidRPr="007A270D" w:rsidRDefault="007A270D" w:rsidP="007A270D">
      <w:pPr>
        <w:pStyle w:val="Sous-titredocument"/>
        <w:spacing w:line="360" w:lineRule="auto"/>
        <w:contextualSpacing/>
        <w:rPr>
          <w:rFonts w:ascii="Verdana" w:hAnsi="Verdana"/>
        </w:rPr>
      </w:pPr>
      <w:r w:rsidRPr="007A270D">
        <w:rPr>
          <w:rFonts w:ascii="Verdana" w:hAnsi="Verdana"/>
        </w:rPr>
        <w:t xml:space="preserve">Le Collège néerlandais </w:t>
      </w:r>
    </w:p>
    <w:p w:rsidR="007A270D" w:rsidRDefault="007A270D" w:rsidP="007A270D">
      <w:pPr>
        <w:contextualSpacing/>
        <w:jc w:val="both"/>
        <w:rPr>
          <w:rFonts w:ascii="Verdana" w:hAnsi="Verdana"/>
          <w:b/>
          <w:bCs/>
        </w:rPr>
      </w:pPr>
      <w:r w:rsidRPr="007A270D">
        <w:rPr>
          <w:rFonts w:ascii="Verdana" w:hAnsi="Verdana"/>
          <w:noProof/>
          <w:lang w:bidi="ar-SA"/>
        </w:rPr>
        <w:drawing>
          <wp:inline distT="0" distB="0" distL="0" distR="0">
            <wp:extent cx="3249027" cy="2168525"/>
            <wp:effectExtent l="0" t="0" r="8890" b="3175"/>
            <wp:docPr id="2021344409" name="Image 1" descr="Une image contenant plein air, ciel, architecture,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44409" name="Image 1" descr="Une image contenant plein air, ciel, architecture, bâtiment&#10;&#10;Le contenu généré par l’IA peut être incorrect."/>
                    <pic:cNvPicPr/>
                  </pic:nvPicPr>
                  <pic:blipFill>
                    <a:blip r:embed="rId13" cstate="print"/>
                    <a:stretch>
                      <a:fillRect/>
                    </a:stretch>
                  </pic:blipFill>
                  <pic:spPr>
                    <a:xfrm>
                      <a:off x="0" y="0"/>
                      <a:ext cx="3265371" cy="2179434"/>
                    </a:xfrm>
                    <a:prstGeom prst="rect">
                      <a:avLst/>
                    </a:prstGeom>
                  </pic:spPr>
                </pic:pic>
              </a:graphicData>
            </a:graphic>
          </wp:inline>
        </w:drawing>
      </w:r>
    </w:p>
    <w:p w:rsidR="007A270D" w:rsidRPr="007A270D" w:rsidRDefault="007A270D" w:rsidP="007A270D">
      <w:pPr>
        <w:contextualSpacing/>
        <w:jc w:val="both"/>
        <w:rPr>
          <w:rFonts w:ascii="Verdana" w:hAnsi="Verdana"/>
          <w:sz w:val="16"/>
          <w:szCs w:val="16"/>
        </w:rPr>
      </w:pPr>
      <w:r w:rsidRPr="007A270D">
        <w:rPr>
          <w:rFonts w:ascii="Verdana" w:hAnsi="Verdana"/>
          <w:sz w:val="16"/>
          <w:szCs w:val="16"/>
        </w:rPr>
        <w:t>© Diane Arques / ADAGP, 2025</w:t>
      </w:r>
    </w:p>
    <w:p w:rsidR="007A270D" w:rsidRPr="007A270D" w:rsidRDefault="007A270D" w:rsidP="007A270D">
      <w:pPr>
        <w:contextualSpacing/>
        <w:jc w:val="both"/>
        <w:rPr>
          <w:rFonts w:ascii="Verdana" w:hAnsi="Verdana"/>
          <w:b/>
          <w:bCs/>
        </w:rPr>
      </w:pPr>
    </w:p>
    <w:p w:rsidR="007A270D" w:rsidRPr="007A270D" w:rsidRDefault="007A270D" w:rsidP="007A270D">
      <w:pPr>
        <w:spacing w:after="160" w:line="278" w:lineRule="auto"/>
        <w:contextualSpacing/>
        <w:jc w:val="both"/>
        <w:rPr>
          <w:rFonts w:ascii="Verdana" w:hAnsi="Verdana"/>
          <w:b/>
          <w:bCs/>
          <w:szCs w:val="24"/>
        </w:rPr>
      </w:pPr>
      <w:r w:rsidRPr="007A270D">
        <w:rPr>
          <w:rFonts w:ascii="Verdana" w:hAnsi="Verdana"/>
          <w:b/>
          <w:bCs/>
          <w:szCs w:val="24"/>
        </w:rPr>
        <w:lastRenderedPageBreak/>
        <w:t>Histoire et architecture de la maison</w:t>
      </w:r>
    </w:p>
    <w:p w:rsidR="007A270D" w:rsidRDefault="007A270D" w:rsidP="007A270D">
      <w:pPr>
        <w:spacing w:after="160" w:line="278" w:lineRule="auto"/>
        <w:contextualSpacing/>
        <w:jc w:val="both"/>
        <w:rPr>
          <w:rFonts w:ascii="Verdana" w:hAnsi="Verdana"/>
          <w:sz w:val="22"/>
        </w:rPr>
      </w:pPr>
      <w:r w:rsidRPr="007A270D">
        <w:rPr>
          <w:rFonts w:ascii="Verdana" w:hAnsi="Verdana"/>
          <w:sz w:val="22"/>
        </w:rPr>
        <w:t>Le Collège néerlandais est la seule œuvre de Willem Marinus Dudok édifiée en France, constituant ainsi un témoignage unique de l’un des architectes les plus éminents de l’école hollandaise active dans l’entre-deux-guerres. L’initiative de sa construction revient à un comité d’action créé en 1924 par Frans Vreede, directeur du Centre d’études néerlandaises à Paris.</w:t>
      </w:r>
    </w:p>
    <w:p w:rsidR="007A270D" w:rsidRPr="007A270D" w:rsidRDefault="007A270D" w:rsidP="007A270D">
      <w:pPr>
        <w:spacing w:after="160" w:line="278" w:lineRule="auto"/>
        <w:contextualSpacing/>
        <w:jc w:val="both"/>
        <w:rPr>
          <w:rFonts w:ascii="Verdana" w:hAnsi="Verdana"/>
          <w:sz w:val="22"/>
        </w:rPr>
      </w:pPr>
    </w:p>
    <w:p w:rsidR="007A270D" w:rsidRPr="007A270D" w:rsidRDefault="007A270D" w:rsidP="007A270D">
      <w:pPr>
        <w:spacing w:after="160" w:line="278" w:lineRule="auto"/>
        <w:contextualSpacing/>
        <w:jc w:val="both"/>
        <w:rPr>
          <w:rFonts w:ascii="Verdana" w:hAnsi="Verdana"/>
          <w:b/>
          <w:bCs/>
        </w:rPr>
      </w:pPr>
      <w:r w:rsidRPr="007A270D">
        <w:rPr>
          <w:rFonts w:ascii="Verdana" w:hAnsi="Verdana"/>
          <w:b/>
          <w:bCs/>
        </w:rPr>
        <w:t>Un bâtiment d’une valeur architecturale exceptionnelle</w:t>
      </w:r>
    </w:p>
    <w:p w:rsidR="007A270D" w:rsidRDefault="007A270D" w:rsidP="007A270D">
      <w:pPr>
        <w:spacing w:after="160" w:line="278" w:lineRule="auto"/>
        <w:contextualSpacing/>
        <w:jc w:val="both"/>
        <w:rPr>
          <w:rFonts w:ascii="Verdana" w:hAnsi="Verdana"/>
          <w:sz w:val="22"/>
        </w:rPr>
      </w:pPr>
      <w:r w:rsidRPr="007A270D">
        <w:rPr>
          <w:rFonts w:ascii="Verdana" w:hAnsi="Verdana"/>
          <w:sz w:val="22"/>
        </w:rPr>
        <w:t xml:space="preserve">Le Collège néerlandais a été créé par Willem Marinus Dudok. Il s’agit de la seule œuvre de l’architecte en France, constituant ainsi un témoignage unique de l’un des architectes les plus éminents de l’école hollandaise active dans l’entre-deux-guerres. Sa forme orthogonale, son imbrication de volumes géométriques et son dépouillement décoratif en font un témoignage majeur du courant architectural moderniste des années 1920 et notamment à la célèbre Ecole d’Amsterdam. Quelques éléments d’architecture renvoient pourtant à la culture nationale néerlandaise. Ainsi, la tour d’angle évoque les beffrois médiévaux des villes du nord des Pays Bas et les fenêtres à petits carreaux les maisons hollandaises. A l’intérieur, le bâtiment, organisé autour d’un patio, est un véritable « piège à lumière ». Il offre des ambiances chaleureuses qui contrastent avec l’austérité des façades. Les peintures monumentales du Grand Salon sont signées de </w:t>
      </w:r>
      <w:proofErr w:type="spellStart"/>
      <w:r w:rsidRPr="007A270D">
        <w:rPr>
          <w:rFonts w:ascii="Verdana" w:hAnsi="Verdana"/>
          <w:sz w:val="22"/>
        </w:rPr>
        <w:t>Hordijk</w:t>
      </w:r>
      <w:proofErr w:type="spellEnd"/>
      <w:r w:rsidRPr="007A270D">
        <w:rPr>
          <w:rFonts w:ascii="Verdana" w:hAnsi="Verdana"/>
          <w:sz w:val="22"/>
        </w:rPr>
        <w:t xml:space="preserve"> et </w:t>
      </w:r>
      <w:proofErr w:type="spellStart"/>
      <w:r w:rsidRPr="007A270D">
        <w:rPr>
          <w:rFonts w:ascii="Verdana" w:hAnsi="Verdana"/>
          <w:sz w:val="22"/>
        </w:rPr>
        <w:t>Doeve</w:t>
      </w:r>
      <w:proofErr w:type="spellEnd"/>
      <w:r w:rsidRPr="007A270D">
        <w:rPr>
          <w:rFonts w:ascii="Verdana" w:hAnsi="Verdana"/>
          <w:sz w:val="22"/>
        </w:rPr>
        <w:t>.</w:t>
      </w:r>
      <w:r>
        <w:rPr>
          <w:rFonts w:ascii="Verdana" w:hAnsi="Verdana"/>
          <w:sz w:val="22"/>
        </w:rPr>
        <w:t xml:space="preserve"> </w:t>
      </w:r>
      <w:r w:rsidRPr="007A270D">
        <w:rPr>
          <w:rFonts w:ascii="Verdana" w:hAnsi="Verdana"/>
          <w:sz w:val="22"/>
        </w:rPr>
        <w:t>Le bâtiment a été baptisé Fondation Juliana du nom de la princesse des Pays-Bas, qui a manifesté très tôt son intérêt pour le projet. L’édifice, par son orthogonalité, son imbrication de volumes géométriques et son dépouillement décoratif, exprime clairement sa filiation avec le mouvement moderne. Toutefois, quelques éléments d’architecture subtils renvoient à la culture nationale et notamment à la célèbre École d’Amsterdam. Il a été classé monument historique en 2005. Il dispose de 141 logements.</w:t>
      </w:r>
    </w:p>
    <w:p w:rsidR="007A270D" w:rsidRPr="007A270D" w:rsidRDefault="007A270D" w:rsidP="007A270D">
      <w:pPr>
        <w:contextualSpacing/>
        <w:jc w:val="both"/>
        <w:rPr>
          <w:rFonts w:ascii="Verdana" w:hAnsi="Verdana"/>
          <w:sz w:val="22"/>
        </w:rPr>
      </w:pPr>
    </w:p>
    <w:p w:rsidR="007A270D" w:rsidRPr="007A270D" w:rsidRDefault="007A270D" w:rsidP="007A270D">
      <w:pPr>
        <w:spacing w:after="160" w:line="278" w:lineRule="auto"/>
        <w:contextualSpacing/>
        <w:jc w:val="both"/>
        <w:rPr>
          <w:rFonts w:ascii="Verdana" w:hAnsi="Verdana"/>
          <w:b/>
          <w:bCs/>
        </w:rPr>
      </w:pPr>
      <w:r w:rsidRPr="007A270D">
        <w:rPr>
          <w:rFonts w:ascii="Verdana" w:hAnsi="Verdana"/>
          <w:b/>
          <w:bCs/>
        </w:rPr>
        <w:t>Des travaux de réhabilitation en 2016</w:t>
      </w:r>
    </w:p>
    <w:p w:rsidR="007A270D" w:rsidRDefault="007A270D" w:rsidP="007A270D">
      <w:pPr>
        <w:spacing w:after="160" w:line="278" w:lineRule="auto"/>
        <w:contextualSpacing/>
        <w:jc w:val="both"/>
        <w:rPr>
          <w:rFonts w:ascii="Verdana" w:hAnsi="Verdana"/>
          <w:sz w:val="22"/>
        </w:rPr>
      </w:pPr>
      <w:r w:rsidRPr="007A270D">
        <w:rPr>
          <w:rFonts w:ascii="Verdana" w:hAnsi="Verdana"/>
          <w:sz w:val="22"/>
        </w:rPr>
        <w:t>Le bâtiment a bénéficié d’une restauration complète de 2011 à 2016, financée par le royaume des Pays-Bas, la Région Île-de-France, plusieurs ministères français et la Cité internationale.  Ces travaux ont permis de donner au bâtiment une nouvelle jeunesse et d’améliorer le confort de vie de ses résidents. Des sanitaires privatifs ont été créés dans la majorité des chambres. Le mobilier d’origine a été restauré. Les espaces de vie en commun des résidents ont été par ailleurs largement améliorés. Chaque étage bénéficie d’une cuisine commune spacieuse et équipée, afin de privilégier la qualité des instants partagés. Le Grand salon a été réaménagé pour en faire un lieu de réception à destination des résidents, mais aussi du grand public.</w:t>
      </w:r>
    </w:p>
    <w:p w:rsidR="007A270D" w:rsidRPr="007A270D" w:rsidRDefault="007A270D" w:rsidP="007A270D">
      <w:pPr>
        <w:spacing w:after="160" w:line="278" w:lineRule="auto"/>
        <w:contextualSpacing/>
        <w:jc w:val="both"/>
        <w:rPr>
          <w:rFonts w:ascii="Verdana" w:hAnsi="Verdana"/>
          <w:sz w:val="22"/>
        </w:rPr>
      </w:pPr>
    </w:p>
    <w:p w:rsidR="007A270D" w:rsidRPr="007A270D" w:rsidRDefault="007A270D" w:rsidP="007A270D">
      <w:pPr>
        <w:spacing w:after="160" w:line="278" w:lineRule="auto"/>
        <w:contextualSpacing/>
        <w:jc w:val="both"/>
        <w:rPr>
          <w:rFonts w:ascii="Verdana" w:hAnsi="Verdana"/>
          <w:b/>
          <w:bCs/>
        </w:rPr>
      </w:pPr>
      <w:proofErr w:type="spellStart"/>
      <w:r w:rsidRPr="007A270D">
        <w:rPr>
          <w:rFonts w:ascii="Verdana" w:hAnsi="Verdana"/>
          <w:b/>
          <w:bCs/>
        </w:rPr>
        <w:t>Alumna</w:t>
      </w:r>
      <w:proofErr w:type="spellEnd"/>
      <w:r w:rsidRPr="007A270D">
        <w:rPr>
          <w:rFonts w:ascii="Verdana" w:hAnsi="Verdana"/>
          <w:b/>
          <w:bCs/>
        </w:rPr>
        <w:t xml:space="preserve"> célèbre</w:t>
      </w:r>
    </w:p>
    <w:p w:rsidR="007A270D" w:rsidRDefault="007A270D" w:rsidP="007A270D">
      <w:pPr>
        <w:spacing w:after="160" w:line="278" w:lineRule="auto"/>
        <w:contextualSpacing/>
        <w:jc w:val="both"/>
        <w:rPr>
          <w:rFonts w:ascii="Verdana" w:hAnsi="Verdana"/>
          <w:sz w:val="22"/>
        </w:rPr>
      </w:pPr>
      <w:r w:rsidRPr="007A270D">
        <w:rPr>
          <w:rFonts w:ascii="Verdana" w:hAnsi="Verdana"/>
          <w:sz w:val="22"/>
        </w:rPr>
        <w:t>Farah Diba, ancienne impératrice d’Iran, résida au Collège néerlandais de 1957 à 1959, pendant ses études d’architecture à Paris. </w:t>
      </w:r>
    </w:p>
    <w:p w:rsidR="007A270D" w:rsidRPr="007A270D" w:rsidRDefault="007A270D" w:rsidP="007A270D">
      <w:pPr>
        <w:spacing w:after="160" w:line="278" w:lineRule="auto"/>
        <w:contextualSpacing/>
        <w:jc w:val="both"/>
        <w:rPr>
          <w:rFonts w:ascii="Verdana" w:hAnsi="Verdana"/>
          <w:sz w:val="22"/>
        </w:rPr>
      </w:pPr>
    </w:p>
    <w:p w:rsidR="007A270D" w:rsidRPr="007A270D" w:rsidRDefault="007A270D" w:rsidP="007A270D">
      <w:pPr>
        <w:pStyle w:val="Sous-titredocument"/>
        <w:spacing w:line="360" w:lineRule="auto"/>
        <w:contextualSpacing/>
        <w:rPr>
          <w:rFonts w:ascii="Verdana" w:hAnsi="Verdana"/>
        </w:rPr>
      </w:pPr>
      <w:r w:rsidRPr="007A270D">
        <w:rPr>
          <w:rFonts w:ascii="Verdana" w:hAnsi="Verdana"/>
        </w:rPr>
        <w:lastRenderedPageBreak/>
        <w:t>Maison des étudiants de l’Asie du Sud-est</w:t>
      </w:r>
    </w:p>
    <w:p w:rsidR="007A270D" w:rsidRPr="007A270D" w:rsidRDefault="007A270D" w:rsidP="007A270D">
      <w:pPr>
        <w:contextualSpacing/>
        <w:jc w:val="both"/>
        <w:rPr>
          <w:rFonts w:ascii="Verdana" w:hAnsi="Verdana"/>
          <w:b/>
          <w:bCs/>
        </w:rPr>
      </w:pPr>
    </w:p>
    <w:p w:rsidR="007A270D" w:rsidRDefault="007A270D" w:rsidP="007A270D">
      <w:pPr>
        <w:contextualSpacing/>
        <w:jc w:val="both"/>
        <w:rPr>
          <w:rFonts w:ascii="Verdana" w:hAnsi="Verdana"/>
          <w:b/>
          <w:bCs/>
        </w:rPr>
      </w:pPr>
      <w:r w:rsidRPr="007A270D">
        <w:rPr>
          <w:rFonts w:ascii="Verdana" w:hAnsi="Verdana"/>
          <w:noProof/>
          <w:lang w:bidi="ar-SA"/>
        </w:rPr>
        <w:drawing>
          <wp:inline distT="0" distB="0" distL="0" distR="0">
            <wp:extent cx="2833255" cy="1898206"/>
            <wp:effectExtent l="0" t="0" r="5715" b="6985"/>
            <wp:docPr id="1867609933" name="Image 1" descr="Une image contenant intérieur, sol, plafond, piè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09933" name="Image 1" descr="Une image contenant intérieur, sol, plafond, pièce&#10;&#10;Le contenu généré par l’IA peut être incorrect."/>
                    <pic:cNvPicPr/>
                  </pic:nvPicPr>
                  <pic:blipFill>
                    <a:blip r:embed="rId14" cstate="print"/>
                    <a:stretch>
                      <a:fillRect/>
                    </a:stretch>
                  </pic:blipFill>
                  <pic:spPr>
                    <a:xfrm>
                      <a:off x="0" y="0"/>
                      <a:ext cx="2837275" cy="1900899"/>
                    </a:xfrm>
                    <a:prstGeom prst="rect">
                      <a:avLst/>
                    </a:prstGeom>
                  </pic:spPr>
                </pic:pic>
              </a:graphicData>
            </a:graphic>
          </wp:inline>
        </w:drawing>
      </w:r>
    </w:p>
    <w:p w:rsidR="007A270D" w:rsidRPr="007A270D" w:rsidRDefault="007A270D" w:rsidP="007A270D">
      <w:pPr>
        <w:contextualSpacing/>
        <w:jc w:val="both"/>
        <w:rPr>
          <w:rFonts w:ascii="Verdana" w:hAnsi="Verdana"/>
          <w:sz w:val="16"/>
          <w:szCs w:val="16"/>
        </w:rPr>
      </w:pPr>
      <w:r w:rsidRPr="007A270D">
        <w:rPr>
          <w:rFonts w:ascii="Verdana" w:hAnsi="Verdana"/>
          <w:sz w:val="16"/>
          <w:szCs w:val="16"/>
        </w:rPr>
        <w:t>© Diane Arques / ADAGP, 2025</w:t>
      </w:r>
    </w:p>
    <w:p w:rsidR="007A270D" w:rsidRDefault="007A270D" w:rsidP="007A270D">
      <w:pPr>
        <w:spacing w:after="160" w:line="278" w:lineRule="auto"/>
        <w:contextualSpacing/>
        <w:jc w:val="both"/>
        <w:rPr>
          <w:rFonts w:ascii="Verdana" w:hAnsi="Verdana"/>
          <w:b/>
          <w:bCs/>
        </w:rPr>
      </w:pPr>
    </w:p>
    <w:p w:rsidR="007A270D" w:rsidRPr="007A270D" w:rsidRDefault="007A270D" w:rsidP="007A270D">
      <w:pPr>
        <w:spacing w:after="160" w:line="278" w:lineRule="auto"/>
        <w:contextualSpacing/>
        <w:jc w:val="both"/>
        <w:rPr>
          <w:rFonts w:ascii="Verdana" w:hAnsi="Verdana"/>
          <w:b/>
          <w:bCs/>
        </w:rPr>
      </w:pPr>
      <w:r w:rsidRPr="007A270D">
        <w:rPr>
          <w:rFonts w:ascii="Verdana" w:hAnsi="Verdana"/>
          <w:b/>
          <w:bCs/>
        </w:rPr>
        <w:t>Histoire et architecture de la maison</w:t>
      </w:r>
    </w:p>
    <w:p w:rsidR="007A270D" w:rsidRDefault="007A270D" w:rsidP="007A270D">
      <w:pPr>
        <w:spacing w:after="160" w:line="278" w:lineRule="auto"/>
        <w:contextualSpacing/>
        <w:jc w:val="both"/>
        <w:rPr>
          <w:rFonts w:ascii="Verdana" w:hAnsi="Verdana"/>
          <w:sz w:val="22"/>
        </w:rPr>
      </w:pPr>
      <w:r w:rsidRPr="007A270D">
        <w:rPr>
          <w:rFonts w:ascii="Verdana" w:hAnsi="Verdana"/>
          <w:sz w:val="22"/>
        </w:rPr>
        <w:t>Ancienne Maison de l’Indochine, la Maison des étudiants de l’Asie du Sud-Est voit le jour dans le contexte de la France coloniale du début du XXe siècle. Son financement est dû à un comité d’initiative, composé en majorité d’industriels français installés dans la région. La pause de la première pierre a eu lieu en juillet 1928, en présence de l’empereur d’Annam Bao-</w:t>
      </w:r>
      <w:proofErr w:type="spellStart"/>
      <w:r w:rsidRPr="007A270D">
        <w:rPr>
          <w:rFonts w:ascii="Verdana" w:hAnsi="Verdana"/>
          <w:sz w:val="22"/>
        </w:rPr>
        <w:t>Daï</w:t>
      </w:r>
      <w:proofErr w:type="spellEnd"/>
      <w:r w:rsidRPr="007A270D">
        <w:rPr>
          <w:rFonts w:ascii="Verdana" w:hAnsi="Verdana"/>
          <w:sz w:val="22"/>
        </w:rPr>
        <w:t xml:space="preserve"> et du ministre des Colonies.</w:t>
      </w:r>
    </w:p>
    <w:p w:rsidR="007A270D" w:rsidRPr="007A270D" w:rsidRDefault="007A270D" w:rsidP="007A270D">
      <w:pPr>
        <w:spacing w:after="160" w:line="278" w:lineRule="auto"/>
        <w:contextualSpacing/>
        <w:jc w:val="both"/>
        <w:rPr>
          <w:rFonts w:ascii="Verdana" w:hAnsi="Verdana"/>
          <w:sz w:val="22"/>
        </w:rPr>
      </w:pPr>
    </w:p>
    <w:p w:rsidR="007A270D" w:rsidRPr="007A270D" w:rsidRDefault="007A270D" w:rsidP="007A270D">
      <w:pPr>
        <w:spacing w:after="160" w:line="278" w:lineRule="auto"/>
        <w:contextualSpacing/>
        <w:jc w:val="both"/>
        <w:rPr>
          <w:rFonts w:ascii="Verdana" w:hAnsi="Verdana"/>
          <w:b/>
          <w:bCs/>
        </w:rPr>
      </w:pPr>
      <w:r w:rsidRPr="007A270D">
        <w:rPr>
          <w:rFonts w:ascii="Verdana" w:hAnsi="Verdana"/>
          <w:b/>
          <w:bCs/>
        </w:rPr>
        <w:t>L’ancienne maison de l’Indochine</w:t>
      </w:r>
    </w:p>
    <w:p w:rsidR="007A270D" w:rsidRPr="007A270D" w:rsidRDefault="007A270D" w:rsidP="007A270D">
      <w:pPr>
        <w:spacing w:after="160" w:line="278" w:lineRule="auto"/>
        <w:contextualSpacing/>
        <w:jc w:val="both"/>
        <w:rPr>
          <w:rFonts w:ascii="Verdana" w:hAnsi="Verdana"/>
          <w:sz w:val="22"/>
        </w:rPr>
      </w:pPr>
      <w:r w:rsidRPr="007A270D">
        <w:rPr>
          <w:rFonts w:ascii="Verdana" w:hAnsi="Verdana"/>
          <w:sz w:val="22"/>
        </w:rPr>
        <w:t>En 1930, une Maison de l’Indochine a ouvert ses portes à la Cité internationale. Elle avait été créée à l’initiative d’un comité composé en majorité d’industriels français installés en Asie du Sud-Est. Fruit de l’esprit paternaliste de la France coloniale de l’époque, elle devait présenter pour ses jeunes résidents venus d’Asie du Sud-Est une synthèse entre les lumières de la métropole et la tradition annamite. L’édifice a pris le nom Maison des Étudiants de l’Asie du Sud-Est en janvier 1972. Depuis 2008, à la suite d’une convention de partenariat signée avec la Cité internationale, la maison accueille les étudiants de ParisTech, qui rassemble douze grandes écoles françaises dans les domaines des sciences, de la technologie et du management.</w:t>
      </w:r>
    </w:p>
    <w:p w:rsidR="007A270D" w:rsidRDefault="007A270D" w:rsidP="007A270D">
      <w:pPr>
        <w:spacing w:after="160" w:line="278" w:lineRule="auto"/>
        <w:contextualSpacing/>
        <w:jc w:val="both"/>
        <w:rPr>
          <w:rFonts w:ascii="Verdana" w:hAnsi="Verdana"/>
          <w:sz w:val="22"/>
        </w:rPr>
      </w:pPr>
      <w:r w:rsidRPr="007A270D">
        <w:rPr>
          <w:rFonts w:ascii="Verdana" w:hAnsi="Verdana"/>
          <w:sz w:val="22"/>
        </w:rPr>
        <w:t>La Maison des étudiants de l’Asie du Sud-Est est gérée par la fondation nationale Cité internationale universitaire de Paris.</w:t>
      </w:r>
    </w:p>
    <w:p w:rsidR="007A270D" w:rsidRPr="007A270D" w:rsidRDefault="007A270D" w:rsidP="007A270D">
      <w:pPr>
        <w:spacing w:after="160" w:line="278" w:lineRule="auto"/>
        <w:contextualSpacing/>
        <w:jc w:val="both"/>
        <w:rPr>
          <w:rFonts w:ascii="Verdana" w:hAnsi="Verdana"/>
          <w:sz w:val="22"/>
        </w:rPr>
      </w:pPr>
    </w:p>
    <w:p w:rsidR="007A270D" w:rsidRPr="007A270D" w:rsidRDefault="007A270D" w:rsidP="007A270D">
      <w:pPr>
        <w:spacing w:after="160"/>
        <w:contextualSpacing/>
        <w:jc w:val="both"/>
        <w:rPr>
          <w:rFonts w:ascii="Verdana" w:eastAsiaTheme="minorHAnsi" w:hAnsi="Verdana" w:cstheme="minorBidi"/>
          <w:b/>
          <w:bCs/>
          <w:szCs w:val="24"/>
        </w:rPr>
      </w:pPr>
      <w:r w:rsidRPr="007A270D">
        <w:rPr>
          <w:rFonts w:ascii="Verdana" w:hAnsi="Verdana"/>
        </w:rPr>
        <w:t> </w:t>
      </w:r>
      <w:r w:rsidRPr="007A270D">
        <w:rPr>
          <w:rFonts w:ascii="Verdana" w:eastAsiaTheme="minorHAnsi" w:hAnsi="Verdana" w:cstheme="minorBidi"/>
          <w:b/>
          <w:bCs/>
          <w:szCs w:val="24"/>
        </w:rPr>
        <w:t>Un bâtiment au style asiatique</w:t>
      </w:r>
    </w:p>
    <w:p w:rsidR="007A270D" w:rsidRDefault="007A270D" w:rsidP="007A270D">
      <w:pPr>
        <w:spacing w:after="160" w:line="278" w:lineRule="auto"/>
        <w:contextualSpacing/>
        <w:jc w:val="both"/>
        <w:rPr>
          <w:rFonts w:ascii="Verdana" w:hAnsi="Verdana"/>
          <w:sz w:val="22"/>
        </w:rPr>
      </w:pPr>
      <w:r w:rsidRPr="007A270D">
        <w:rPr>
          <w:rFonts w:ascii="Verdana" w:hAnsi="Verdana"/>
          <w:sz w:val="22"/>
        </w:rPr>
        <w:t xml:space="preserve">Deux architectes, Pierre Martin et Maurice Vieu, ont conçu le bâtiment, qui abritait à l’origine 100 chambres. Ils se sont inspirés de la tradition architecturale indochinoise, tout en respectant le gabarit parisien, comme le montrent les larges débords des toitures ou encore les angles des toits relevés en « bec de tourterelle ». Un jardin occupe la partie centrale du bâtiment. L’architecture intérieure manifeste également cette même volonté de synthèse, avec un agencement à l’européenne dans un décor à la mode orientale, dont témoigne le grand salon richement décoré. La rampe </w:t>
      </w:r>
      <w:r w:rsidRPr="007A270D">
        <w:rPr>
          <w:rFonts w:ascii="Verdana" w:hAnsi="Verdana"/>
          <w:sz w:val="22"/>
        </w:rPr>
        <w:lastRenderedPageBreak/>
        <w:t>d’escalier a par exemple été conçue sur un motif du Palais impérial de</w:t>
      </w:r>
      <w:r>
        <w:rPr>
          <w:rFonts w:ascii="Verdana" w:hAnsi="Verdana"/>
          <w:sz w:val="22"/>
        </w:rPr>
        <w:t xml:space="preserve"> </w:t>
      </w:r>
      <w:r w:rsidRPr="007A270D">
        <w:rPr>
          <w:rFonts w:ascii="Verdana" w:hAnsi="Verdana"/>
          <w:sz w:val="22"/>
        </w:rPr>
        <w:t>Hué.</w:t>
      </w:r>
    </w:p>
    <w:p w:rsidR="007A270D" w:rsidRPr="007A270D" w:rsidRDefault="007A270D" w:rsidP="007A270D">
      <w:pPr>
        <w:spacing w:after="160" w:line="278" w:lineRule="auto"/>
        <w:contextualSpacing/>
        <w:jc w:val="both"/>
        <w:rPr>
          <w:rFonts w:ascii="Verdana" w:hAnsi="Verdana"/>
          <w:sz w:val="22"/>
        </w:rPr>
      </w:pPr>
    </w:p>
    <w:p w:rsidR="007A270D" w:rsidRPr="007A270D" w:rsidRDefault="007A270D" w:rsidP="007A270D">
      <w:pPr>
        <w:spacing w:after="160" w:line="278" w:lineRule="auto"/>
        <w:contextualSpacing/>
        <w:jc w:val="both"/>
        <w:rPr>
          <w:rFonts w:ascii="Verdana" w:hAnsi="Verdana"/>
          <w:b/>
          <w:bCs/>
        </w:rPr>
      </w:pPr>
      <w:r w:rsidRPr="007A270D">
        <w:rPr>
          <w:rFonts w:ascii="Verdana" w:hAnsi="Verdana"/>
          <w:b/>
          <w:bCs/>
        </w:rPr>
        <w:t>Une maison restaurée</w:t>
      </w:r>
    </w:p>
    <w:p w:rsidR="007A270D" w:rsidRDefault="007A270D" w:rsidP="007A270D">
      <w:pPr>
        <w:spacing w:after="160" w:line="278" w:lineRule="auto"/>
        <w:contextualSpacing/>
        <w:jc w:val="both"/>
        <w:rPr>
          <w:rFonts w:ascii="Verdana" w:hAnsi="Verdana"/>
          <w:sz w:val="22"/>
        </w:rPr>
      </w:pPr>
      <w:r w:rsidRPr="007A270D">
        <w:rPr>
          <w:rFonts w:ascii="Verdana" w:hAnsi="Verdana"/>
          <w:sz w:val="22"/>
        </w:rPr>
        <w:t xml:space="preserve">En 1998, les toitures et les façades ont été restaurées. Les espaces intérieurs ont été rénovés en 2007 par les architectes Dominique Pinon et Charlotte Pueyo. Les travaux ont permis d’augmenter la capacité d’accueil et d’améliorer le confort des résidents. Les chambres ont été équipées de sanitaires privatifs et d’un nouveau mobilier, conçu sur mesure. Une chambre historique a été restituée et une monumentale huile sur toile du peintre vietnamien </w:t>
      </w:r>
      <w:proofErr w:type="spellStart"/>
      <w:r w:rsidRPr="007A270D">
        <w:rPr>
          <w:rFonts w:ascii="Verdana" w:hAnsi="Verdana"/>
          <w:sz w:val="22"/>
        </w:rPr>
        <w:t>Lê</w:t>
      </w:r>
      <w:proofErr w:type="spellEnd"/>
      <w:r w:rsidRPr="007A270D">
        <w:rPr>
          <w:rFonts w:ascii="Verdana" w:hAnsi="Verdana"/>
          <w:sz w:val="22"/>
        </w:rPr>
        <w:t xml:space="preserve"> </w:t>
      </w:r>
      <w:proofErr w:type="spellStart"/>
      <w:r w:rsidRPr="007A270D">
        <w:rPr>
          <w:rFonts w:ascii="Verdana" w:hAnsi="Verdana"/>
          <w:sz w:val="22"/>
        </w:rPr>
        <w:t>Phô</w:t>
      </w:r>
      <w:proofErr w:type="spellEnd"/>
      <w:r w:rsidRPr="007A270D">
        <w:rPr>
          <w:rFonts w:ascii="Verdana" w:hAnsi="Verdana"/>
          <w:sz w:val="22"/>
        </w:rPr>
        <w:t xml:space="preserve"> a été entièrement restaurée et installée dans le hall d’entrée. Le grand salon a été rénové en 2014 et le jardin en 2017. Depuis sa réouverture en 2008, les chambres sont réservées en priorité à des étudiants de ParisTech qui a participé financièrement à cette rénovation. Elle dispose de 131 logements.</w:t>
      </w:r>
    </w:p>
    <w:p w:rsidR="007A270D" w:rsidRPr="007A270D" w:rsidRDefault="007A270D" w:rsidP="007A270D">
      <w:pPr>
        <w:spacing w:after="160" w:line="278" w:lineRule="auto"/>
        <w:contextualSpacing/>
        <w:jc w:val="both"/>
        <w:rPr>
          <w:rFonts w:ascii="Verdana" w:hAnsi="Verdana"/>
          <w:sz w:val="22"/>
        </w:rPr>
      </w:pPr>
    </w:p>
    <w:p w:rsidR="007A270D" w:rsidRPr="007A270D" w:rsidRDefault="007A270D" w:rsidP="007A270D">
      <w:pPr>
        <w:spacing w:after="160" w:line="278" w:lineRule="auto"/>
        <w:contextualSpacing/>
        <w:jc w:val="both"/>
        <w:rPr>
          <w:rFonts w:ascii="Verdana" w:hAnsi="Verdana"/>
          <w:b/>
          <w:bCs/>
        </w:rPr>
      </w:pPr>
      <w:proofErr w:type="spellStart"/>
      <w:r w:rsidRPr="007A270D">
        <w:rPr>
          <w:rFonts w:ascii="Verdana" w:hAnsi="Verdana"/>
          <w:b/>
          <w:bCs/>
        </w:rPr>
        <w:t>Alumnus</w:t>
      </w:r>
      <w:proofErr w:type="spellEnd"/>
      <w:r w:rsidRPr="007A270D">
        <w:rPr>
          <w:rFonts w:ascii="Verdana" w:hAnsi="Verdana"/>
          <w:b/>
          <w:bCs/>
        </w:rPr>
        <w:t xml:space="preserve"> célèbre</w:t>
      </w:r>
    </w:p>
    <w:p w:rsidR="007A270D" w:rsidRDefault="007A270D" w:rsidP="007A270D">
      <w:pPr>
        <w:contextualSpacing/>
        <w:jc w:val="both"/>
        <w:rPr>
          <w:rFonts w:ascii="Verdana" w:hAnsi="Verdana"/>
          <w:sz w:val="22"/>
        </w:rPr>
      </w:pPr>
      <w:r w:rsidRPr="007A270D">
        <w:rPr>
          <w:rFonts w:ascii="Verdana" w:hAnsi="Verdana"/>
          <w:sz w:val="22"/>
        </w:rPr>
        <w:t>Le prince consort Henrik de Danemark, né Henri de Laborde de Monpezat, était un diplomate français. Le 10 juin 1967, il a épousé la princesse héritière Margrethe II de Danemark.</w:t>
      </w:r>
    </w:p>
    <w:p w:rsidR="007A270D" w:rsidRPr="007A270D" w:rsidRDefault="007A270D" w:rsidP="007A270D">
      <w:pPr>
        <w:contextualSpacing/>
        <w:jc w:val="both"/>
        <w:rPr>
          <w:rFonts w:ascii="Verdana" w:hAnsi="Verdana"/>
          <w:sz w:val="22"/>
        </w:rPr>
      </w:pPr>
    </w:p>
    <w:p w:rsidR="007A270D" w:rsidRPr="007A270D" w:rsidRDefault="007A270D" w:rsidP="007A270D">
      <w:pPr>
        <w:pStyle w:val="Titredocument"/>
        <w:spacing w:after="0" w:afterAutospacing="0" w:line="360" w:lineRule="auto"/>
        <w:contextualSpacing/>
        <w:rPr>
          <w:rStyle w:val="Sous-titredocumentCar"/>
          <w:rFonts w:ascii="Verdana" w:hAnsi="Verdana"/>
          <w:b/>
          <w:color w:val="000000" w:themeColor="text1"/>
          <w:sz w:val="32"/>
          <w:szCs w:val="32"/>
        </w:rPr>
      </w:pPr>
      <w:r w:rsidRPr="00DA64E8">
        <w:rPr>
          <w:rStyle w:val="Sous-titredocumentCar"/>
          <w:rFonts w:ascii="Verdana" w:hAnsi="Verdana"/>
          <w:b/>
          <w:color w:val="48D7AB"/>
          <w:sz w:val="32"/>
          <w:szCs w:val="32"/>
        </w:rPr>
        <w:t>Galette des rois | 18h30-20h</w:t>
      </w:r>
    </w:p>
    <w:p w:rsidR="007A270D" w:rsidRPr="007A270D" w:rsidRDefault="007A270D" w:rsidP="007A270D">
      <w:pPr>
        <w:pStyle w:val="Sous-titredocument"/>
        <w:spacing w:line="360" w:lineRule="auto"/>
        <w:contextualSpacing/>
        <w:rPr>
          <w:rFonts w:ascii="Verdana" w:hAnsi="Verdana"/>
        </w:rPr>
      </w:pPr>
      <w:r w:rsidRPr="007A270D">
        <w:rPr>
          <w:rFonts w:ascii="Verdana" w:hAnsi="Verdana"/>
        </w:rPr>
        <w:t> Fondation Avicenne</w:t>
      </w:r>
    </w:p>
    <w:p w:rsidR="007A270D" w:rsidRDefault="007A270D" w:rsidP="007A270D">
      <w:pPr>
        <w:spacing w:after="160" w:line="278" w:lineRule="auto"/>
        <w:contextualSpacing/>
        <w:jc w:val="both"/>
        <w:rPr>
          <w:rFonts w:ascii="Verdana" w:hAnsi="Verdana"/>
          <w:b/>
          <w:bCs/>
          <w:sz w:val="32"/>
          <w:szCs w:val="32"/>
        </w:rPr>
      </w:pPr>
      <w:r w:rsidRPr="007A270D">
        <w:rPr>
          <w:rFonts w:ascii="Verdana" w:hAnsi="Verdana"/>
          <w:noProof/>
          <w:lang w:bidi="ar-SA"/>
        </w:rPr>
        <w:drawing>
          <wp:inline distT="0" distB="0" distL="0" distR="0">
            <wp:extent cx="2985655" cy="2235292"/>
            <wp:effectExtent l="0" t="0" r="5715" b="0"/>
            <wp:docPr id="1673282353" name="Image 1" descr="Une image contenant plein air, bâtiment, ciel, nu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82353" name="Image 1" descr="Une image contenant plein air, bâtiment, ciel, nuage&#10;&#10;Le contenu généré par l’IA peut être incorrect."/>
                    <pic:cNvPicPr/>
                  </pic:nvPicPr>
                  <pic:blipFill>
                    <a:blip r:embed="rId15" cstate="print"/>
                    <a:stretch>
                      <a:fillRect/>
                    </a:stretch>
                  </pic:blipFill>
                  <pic:spPr>
                    <a:xfrm>
                      <a:off x="0" y="0"/>
                      <a:ext cx="2994138" cy="2241643"/>
                    </a:xfrm>
                    <a:prstGeom prst="rect">
                      <a:avLst/>
                    </a:prstGeom>
                  </pic:spPr>
                </pic:pic>
              </a:graphicData>
            </a:graphic>
          </wp:inline>
        </w:drawing>
      </w:r>
      <w:r>
        <w:rPr>
          <w:rFonts w:ascii="Verdana" w:hAnsi="Verdana"/>
          <w:b/>
          <w:bCs/>
          <w:sz w:val="32"/>
          <w:szCs w:val="32"/>
        </w:rPr>
        <w:t xml:space="preserve"> </w:t>
      </w:r>
      <w:r>
        <w:rPr>
          <w:noProof/>
          <w:lang w:bidi="ar-SA"/>
        </w:rPr>
        <w:drawing>
          <wp:inline distT="0" distB="0" distL="0" distR="0">
            <wp:extent cx="3048253" cy="2017626"/>
            <wp:effectExtent l="0" t="0" r="0" b="1905"/>
            <wp:docPr id="259213167" name="Image 1" descr="Une image contenant intérieur, sol, décoration d’intérieur, canap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13167" name="Image 1" descr="Une image contenant intérieur, sol, décoration d’intérieur, canapé&#10;&#10;Le contenu généré par l’IA peut être incorrect."/>
                    <pic:cNvPicPr/>
                  </pic:nvPicPr>
                  <pic:blipFill>
                    <a:blip r:embed="rId16" cstate="print"/>
                    <a:stretch>
                      <a:fillRect/>
                    </a:stretch>
                  </pic:blipFill>
                  <pic:spPr>
                    <a:xfrm>
                      <a:off x="0" y="0"/>
                      <a:ext cx="3068246" cy="2030860"/>
                    </a:xfrm>
                    <a:prstGeom prst="rect">
                      <a:avLst/>
                    </a:prstGeom>
                  </pic:spPr>
                </pic:pic>
              </a:graphicData>
            </a:graphic>
          </wp:inline>
        </w:drawing>
      </w:r>
    </w:p>
    <w:p w:rsidR="007A270D" w:rsidRPr="007A270D" w:rsidRDefault="007A270D" w:rsidP="007A270D">
      <w:pPr>
        <w:contextualSpacing/>
        <w:jc w:val="both"/>
        <w:rPr>
          <w:rFonts w:ascii="Verdana" w:hAnsi="Verdana"/>
          <w:sz w:val="16"/>
          <w:szCs w:val="16"/>
        </w:rPr>
      </w:pPr>
      <w:r w:rsidRPr="007A270D">
        <w:rPr>
          <w:rFonts w:ascii="Verdana" w:hAnsi="Verdana"/>
          <w:sz w:val="16"/>
          <w:szCs w:val="16"/>
        </w:rPr>
        <w:t>© Diane Arques / ADAGP, 2025</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Pr="007A270D">
        <w:rPr>
          <w:rFonts w:ascii="Verdana" w:hAnsi="Verdana"/>
          <w:sz w:val="16"/>
          <w:szCs w:val="16"/>
        </w:rPr>
        <w:t>© </w:t>
      </w:r>
      <w:r>
        <w:rPr>
          <w:rFonts w:ascii="Verdana" w:hAnsi="Verdana"/>
          <w:sz w:val="16"/>
          <w:szCs w:val="16"/>
        </w:rPr>
        <w:t xml:space="preserve">Antoine Meyssonnier </w:t>
      </w:r>
    </w:p>
    <w:p w:rsidR="007A270D" w:rsidRDefault="007A270D" w:rsidP="007A270D">
      <w:pPr>
        <w:spacing w:after="160" w:line="278" w:lineRule="auto"/>
        <w:contextualSpacing/>
        <w:jc w:val="both"/>
        <w:rPr>
          <w:rFonts w:ascii="Verdana" w:hAnsi="Verdana"/>
          <w:b/>
          <w:bCs/>
        </w:rPr>
      </w:pPr>
    </w:p>
    <w:p w:rsidR="007A270D" w:rsidRPr="007A270D" w:rsidRDefault="007A270D" w:rsidP="007A270D">
      <w:pPr>
        <w:spacing w:after="160" w:line="278" w:lineRule="auto"/>
        <w:contextualSpacing/>
        <w:jc w:val="both"/>
        <w:rPr>
          <w:rFonts w:ascii="Verdana" w:hAnsi="Verdana"/>
          <w:b/>
          <w:bCs/>
        </w:rPr>
      </w:pPr>
      <w:r w:rsidRPr="007A270D">
        <w:rPr>
          <w:rFonts w:ascii="Verdana" w:hAnsi="Verdana"/>
          <w:b/>
          <w:bCs/>
        </w:rPr>
        <w:t>Histoire et architecture de la maison</w:t>
      </w:r>
    </w:p>
    <w:p w:rsidR="007A270D" w:rsidRDefault="007A270D" w:rsidP="007A270D">
      <w:pPr>
        <w:contextualSpacing/>
        <w:jc w:val="both"/>
        <w:rPr>
          <w:rFonts w:ascii="Verdana" w:hAnsi="Verdana"/>
          <w:sz w:val="22"/>
        </w:rPr>
      </w:pPr>
      <w:r w:rsidRPr="007A270D">
        <w:rPr>
          <w:rFonts w:ascii="Verdana" w:hAnsi="Verdana"/>
          <w:sz w:val="22"/>
        </w:rPr>
        <w:t xml:space="preserve">La Fondation Avicenne, édifiée en 1969 par Claude Parent et André Bloc, associés aux architectes iraniens </w:t>
      </w:r>
      <w:proofErr w:type="spellStart"/>
      <w:r w:rsidRPr="007A270D">
        <w:rPr>
          <w:rFonts w:ascii="Verdana" w:hAnsi="Verdana"/>
          <w:sz w:val="22"/>
        </w:rPr>
        <w:t>Hedar</w:t>
      </w:r>
      <w:proofErr w:type="spellEnd"/>
      <w:r w:rsidRPr="007A270D">
        <w:rPr>
          <w:rFonts w:ascii="Verdana" w:hAnsi="Verdana"/>
          <w:sz w:val="22"/>
        </w:rPr>
        <w:t xml:space="preserve"> </w:t>
      </w:r>
      <w:proofErr w:type="spellStart"/>
      <w:r w:rsidRPr="007A270D">
        <w:rPr>
          <w:rFonts w:ascii="Verdana" w:hAnsi="Verdana"/>
          <w:sz w:val="22"/>
        </w:rPr>
        <w:t>Ghiai</w:t>
      </w:r>
      <w:proofErr w:type="spellEnd"/>
      <w:r w:rsidRPr="007A270D">
        <w:rPr>
          <w:rFonts w:ascii="Verdana" w:hAnsi="Verdana"/>
          <w:sz w:val="22"/>
        </w:rPr>
        <w:t xml:space="preserve"> et </w:t>
      </w:r>
      <w:proofErr w:type="spellStart"/>
      <w:r w:rsidRPr="007A270D">
        <w:rPr>
          <w:rFonts w:ascii="Verdana" w:hAnsi="Verdana"/>
          <w:sz w:val="22"/>
        </w:rPr>
        <w:t>Mossem</w:t>
      </w:r>
      <w:proofErr w:type="spellEnd"/>
      <w:r w:rsidRPr="007A270D">
        <w:rPr>
          <w:rFonts w:ascii="Verdana" w:hAnsi="Verdana"/>
          <w:sz w:val="22"/>
        </w:rPr>
        <w:t xml:space="preserve"> Foroughi, clôt la seconde période de construction de la Cité internationale, après la Seconde Guerre mondiale. Elle a été transférée à la Cité internationale en 1972 et renommée Fondation Avicenne, du nom du grand médecin et philosophe persan du XIe siècle.</w:t>
      </w:r>
    </w:p>
    <w:p w:rsidR="007A270D" w:rsidRPr="007A270D" w:rsidRDefault="007A270D" w:rsidP="007A270D">
      <w:pPr>
        <w:contextualSpacing/>
        <w:jc w:val="both"/>
        <w:rPr>
          <w:rFonts w:ascii="Verdana" w:hAnsi="Verdana"/>
          <w:sz w:val="22"/>
        </w:rPr>
      </w:pPr>
    </w:p>
    <w:p w:rsidR="007A270D" w:rsidRPr="007A270D" w:rsidRDefault="007A270D" w:rsidP="007A270D">
      <w:pPr>
        <w:spacing w:after="160" w:line="278" w:lineRule="auto"/>
        <w:contextualSpacing/>
        <w:jc w:val="both"/>
        <w:rPr>
          <w:rFonts w:ascii="Verdana" w:hAnsi="Verdana"/>
          <w:b/>
          <w:bCs/>
        </w:rPr>
      </w:pPr>
      <w:r w:rsidRPr="007A270D">
        <w:rPr>
          <w:rFonts w:ascii="Verdana" w:hAnsi="Verdana"/>
          <w:b/>
          <w:bCs/>
        </w:rPr>
        <w:lastRenderedPageBreak/>
        <w:t>Une référence dans l’architecture métallique du XX</w:t>
      </w:r>
      <w:r w:rsidRPr="007A270D">
        <w:rPr>
          <w:rFonts w:ascii="Verdana" w:hAnsi="Verdana"/>
          <w:b/>
          <w:bCs/>
          <w:vertAlign w:val="superscript"/>
        </w:rPr>
        <w:t>e</w:t>
      </w:r>
      <w:r w:rsidRPr="007A270D">
        <w:rPr>
          <w:rFonts w:ascii="Verdana" w:hAnsi="Verdana"/>
          <w:b/>
          <w:bCs/>
        </w:rPr>
        <w:t xml:space="preserve"> siècle</w:t>
      </w:r>
    </w:p>
    <w:p w:rsidR="007A270D" w:rsidRPr="007A270D" w:rsidRDefault="007A270D" w:rsidP="007A270D">
      <w:pPr>
        <w:spacing w:after="160" w:line="278" w:lineRule="auto"/>
        <w:contextualSpacing/>
        <w:jc w:val="both"/>
        <w:rPr>
          <w:rFonts w:ascii="Verdana" w:hAnsi="Verdana"/>
          <w:sz w:val="22"/>
        </w:rPr>
      </w:pPr>
      <w:r w:rsidRPr="007A270D">
        <w:rPr>
          <w:rFonts w:ascii="Verdana" w:hAnsi="Verdana"/>
          <w:sz w:val="22"/>
        </w:rPr>
        <w:t>Bâtiment d’avant-garde par la radicalité de son parti, il a contribué à la notoriété de Claude Parent, devenu membre de l’Académie des beaux-arts en 2005. C’est l’un des rares exemples en France d’édifice suspendu à une macrostructure. Le bâtiment se base sur une macrostructure constituée de trois portiques en caissons de tôle soudée dont la hauteur avoisine les trente-huit mètres. L’ossature secondaire, suspendue, forme la trame des deux blocs d’habitation de quatre étages, séparés par un étage en retrait réservé au logement du directeur. </w:t>
      </w:r>
    </w:p>
    <w:p w:rsidR="007A270D" w:rsidRPr="007A270D" w:rsidRDefault="007A270D" w:rsidP="007A270D">
      <w:pPr>
        <w:spacing w:after="160" w:line="278" w:lineRule="auto"/>
        <w:contextualSpacing/>
        <w:jc w:val="both"/>
        <w:rPr>
          <w:rFonts w:ascii="Verdana" w:hAnsi="Verdana"/>
          <w:sz w:val="22"/>
        </w:rPr>
      </w:pPr>
      <w:r w:rsidRPr="007A270D">
        <w:rPr>
          <w:rFonts w:ascii="Verdana" w:hAnsi="Verdana"/>
          <w:sz w:val="22"/>
        </w:rPr>
        <w:t>La façade ouest et les deux pignons, aveugles, forment un écran aux nuisances acoustiques du périphérique. Seule la façade, entièrement vitrée, bénéficie de la lumière naturelle. Un second bâtiment indépendant, glissé sous le premier, abrite les services communs. Les ascenseurs assurent la transition entre les deux bâtiments. L’esthétique architecturale découle de l’opposition des éléments structurels noirs avec les façades en retrait, blanches.</w:t>
      </w:r>
    </w:p>
    <w:p w:rsidR="007A270D" w:rsidRPr="007A270D" w:rsidRDefault="007A270D" w:rsidP="007A270D">
      <w:pPr>
        <w:spacing w:after="160" w:line="278" w:lineRule="auto"/>
        <w:contextualSpacing/>
        <w:jc w:val="both"/>
        <w:rPr>
          <w:rFonts w:ascii="Verdana" w:hAnsi="Verdana"/>
          <w:sz w:val="22"/>
        </w:rPr>
      </w:pPr>
      <w:r w:rsidRPr="007A270D">
        <w:rPr>
          <w:rFonts w:ascii="Verdana" w:hAnsi="Verdana"/>
          <w:sz w:val="22"/>
        </w:rPr>
        <w:t>L’unique escalier de la maison ayant été rejeté à l’extérieur, il devient monumental, formant une double spirale inversée. Conçu comme une sculpture, l’escalier en acier rend le bâtiment ainsi parfaitement identifiable depuis le boulevard périphérique.</w:t>
      </w:r>
    </w:p>
    <w:p w:rsidR="007A270D" w:rsidRDefault="007A270D" w:rsidP="007A270D">
      <w:pPr>
        <w:spacing w:after="160" w:line="278" w:lineRule="auto"/>
        <w:contextualSpacing/>
        <w:jc w:val="both"/>
        <w:rPr>
          <w:rFonts w:ascii="Verdana" w:hAnsi="Verdana"/>
          <w:sz w:val="22"/>
        </w:rPr>
      </w:pPr>
      <w:r w:rsidRPr="007A270D">
        <w:rPr>
          <w:rFonts w:ascii="Verdana" w:hAnsi="Verdana"/>
          <w:sz w:val="22"/>
        </w:rPr>
        <w:t>Iconique, il s’est imposé comme l’une des architectures les plus emblématiques du début des années soixante-dix. En raison de son avant-gardisme architectural, depuis 2008, la Fondation Avicenne est inscrite en totalité sur la liste des Monuments historiques, ainsi que son emprise au sol et sa composition paysagère limitée par les cheminements. Elle rejoint ainsi la liste des maisons protégées de la Cité internationale.</w:t>
      </w:r>
    </w:p>
    <w:p w:rsidR="007A270D" w:rsidRPr="007A270D" w:rsidRDefault="007A270D" w:rsidP="007A270D">
      <w:pPr>
        <w:spacing w:after="160" w:line="278" w:lineRule="auto"/>
        <w:contextualSpacing/>
        <w:jc w:val="both"/>
        <w:rPr>
          <w:rFonts w:ascii="Verdana" w:hAnsi="Verdana"/>
          <w:sz w:val="22"/>
        </w:rPr>
      </w:pPr>
    </w:p>
    <w:p w:rsidR="007A270D" w:rsidRPr="007A270D" w:rsidRDefault="007A270D" w:rsidP="007A270D">
      <w:pPr>
        <w:spacing w:after="160" w:line="278" w:lineRule="auto"/>
        <w:contextualSpacing/>
        <w:jc w:val="both"/>
        <w:rPr>
          <w:rFonts w:ascii="Verdana" w:hAnsi="Verdana"/>
          <w:b/>
          <w:bCs/>
        </w:rPr>
      </w:pPr>
      <w:r w:rsidRPr="007A270D">
        <w:rPr>
          <w:rFonts w:ascii="Verdana" w:hAnsi="Verdana"/>
          <w:b/>
          <w:bCs/>
        </w:rPr>
        <w:t>Une réhabilitation complète après 14 ans de fermeture</w:t>
      </w:r>
    </w:p>
    <w:p w:rsidR="007A270D" w:rsidRDefault="007A270D" w:rsidP="007A270D">
      <w:pPr>
        <w:spacing w:after="160" w:line="278" w:lineRule="auto"/>
        <w:contextualSpacing/>
        <w:jc w:val="both"/>
        <w:rPr>
          <w:rFonts w:ascii="Verdana" w:hAnsi="Verdana"/>
          <w:sz w:val="22"/>
        </w:rPr>
      </w:pPr>
      <w:r w:rsidRPr="007A270D">
        <w:rPr>
          <w:rFonts w:ascii="Verdana" w:hAnsi="Verdana"/>
          <w:sz w:val="22"/>
        </w:rPr>
        <w:t>Depuis 2007, la Fondation Avicenne était fermée car elle ne pouvait plus loger aucun étudiant en raison de sa vétusté. Fin 2019, des travaux de réhabilitation ont pu démarrer et la maison entamer sa mutation. La réhabilitation, portée par la Cité internationale et conduite par l’agence </w:t>
      </w:r>
      <w:proofErr w:type="spellStart"/>
      <w:r w:rsidR="00061923">
        <w:fldChar w:fldCharType="begin"/>
      </w:r>
      <w:r w:rsidR="004A78BC">
        <w:instrText>HYPERLINK "http://www.beguin-macchini.com/"</w:instrText>
      </w:r>
      <w:r w:rsidR="00061923">
        <w:fldChar w:fldCharType="separate"/>
      </w:r>
      <w:r w:rsidRPr="007A270D">
        <w:rPr>
          <w:rStyle w:val="Lienhypertexte"/>
          <w:rFonts w:ascii="Verdana" w:hAnsi="Verdana"/>
          <w:sz w:val="22"/>
        </w:rPr>
        <w:t>Beguin</w:t>
      </w:r>
      <w:proofErr w:type="spellEnd"/>
      <w:r w:rsidRPr="007A270D">
        <w:rPr>
          <w:rStyle w:val="Lienhypertexte"/>
          <w:rFonts w:ascii="Verdana" w:hAnsi="Verdana"/>
          <w:sz w:val="22"/>
        </w:rPr>
        <w:t xml:space="preserve"> &amp; </w:t>
      </w:r>
      <w:proofErr w:type="spellStart"/>
      <w:r w:rsidRPr="007A270D">
        <w:rPr>
          <w:rStyle w:val="Lienhypertexte"/>
          <w:rFonts w:ascii="Verdana" w:hAnsi="Verdana"/>
          <w:sz w:val="22"/>
        </w:rPr>
        <w:t>Macchini</w:t>
      </w:r>
      <w:proofErr w:type="spellEnd"/>
      <w:r w:rsidR="00061923">
        <w:fldChar w:fldCharType="end"/>
      </w:r>
      <w:r w:rsidRPr="007A270D">
        <w:rPr>
          <w:rFonts w:ascii="Verdana" w:hAnsi="Verdana"/>
          <w:sz w:val="22"/>
        </w:rPr>
        <w:t>, a été financée par la Régie immobilière de la ville de Paris (RIVP) et la ville de Paris avec le soutien du </w:t>
      </w:r>
      <w:hyperlink r:id="rId17" w:history="1">
        <w:r w:rsidRPr="007A270D">
          <w:rPr>
            <w:rStyle w:val="Lienhypertexte"/>
            <w:rFonts w:ascii="Verdana" w:hAnsi="Verdana"/>
            <w:sz w:val="22"/>
          </w:rPr>
          <w:t>Plan de relance</w:t>
        </w:r>
      </w:hyperlink>
      <w:r w:rsidRPr="007A270D">
        <w:rPr>
          <w:rFonts w:ascii="Verdana" w:hAnsi="Verdana"/>
          <w:sz w:val="22"/>
        </w:rPr>
        <w:t> et de la DRAC Île-de-France. La réhabilitation qui a duré 3 ans a privilégié une réfection quasi à l’identique, avec toutefois des changements imposés par les nouvelles règlementations et l’évolution des usages. Elle a consisté à conjuguer confort des étudiants, évolution respectueuse du patrimoine et optimisation des qualités intrinsèques du bâtiment.</w:t>
      </w:r>
    </w:p>
    <w:p w:rsidR="007A270D" w:rsidRPr="007A270D" w:rsidRDefault="007A270D" w:rsidP="007A270D">
      <w:pPr>
        <w:spacing w:after="160" w:line="278" w:lineRule="auto"/>
        <w:contextualSpacing/>
        <w:jc w:val="both"/>
        <w:rPr>
          <w:rFonts w:ascii="Verdana" w:hAnsi="Verdana"/>
          <w:sz w:val="22"/>
        </w:rPr>
      </w:pPr>
    </w:p>
    <w:p w:rsidR="007A270D" w:rsidRPr="007A270D" w:rsidRDefault="007A270D" w:rsidP="007A270D">
      <w:pPr>
        <w:spacing w:after="160" w:line="278" w:lineRule="auto"/>
        <w:contextualSpacing/>
        <w:jc w:val="both"/>
        <w:rPr>
          <w:rFonts w:ascii="Verdana" w:hAnsi="Verdana"/>
          <w:b/>
          <w:bCs/>
        </w:rPr>
      </w:pPr>
      <w:r w:rsidRPr="007A270D">
        <w:rPr>
          <w:rFonts w:ascii="Verdana" w:hAnsi="Verdana"/>
          <w:b/>
          <w:bCs/>
        </w:rPr>
        <w:t>Une réhabilitation exemplaire en termes de transition énergétique du patrimoine protégé</w:t>
      </w:r>
    </w:p>
    <w:p w:rsidR="007A270D" w:rsidRPr="007A270D" w:rsidRDefault="007A270D" w:rsidP="007A270D">
      <w:pPr>
        <w:spacing w:after="160" w:line="278" w:lineRule="auto"/>
        <w:contextualSpacing/>
        <w:jc w:val="both"/>
        <w:rPr>
          <w:rFonts w:ascii="Verdana" w:hAnsi="Verdana"/>
          <w:sz w:val="22"/>
        </w:rPr>
      </w:pPr>
      <w:r w:rsidRPr="007A270D">
        <w:rPr>
          <w:rFonts w:ascii="Verdana" w:hAnsi="Verdana"/>
          <w:sz w:val="22"/>
        </w:rPr>
        <w:t>Les travaux ont permis de remettre en état le bâtiment en respectant l’esprit de</w:t>
      </w:r>
      <w:r w:rsidRPr="007A270D">
        <w:rPr>
          <w:rFonts w:ascii="Verdana" w:hAnsi="Verdana"/>
        </w:rPr>
        <w:t xml:space="preserve"> </w:t>
      </w:r>
      <w:r w:rsidRPr="007A270D">
        <w:rPr>
          <w:rFonts w:ascii="Verdana" w:hAnsi="Verdana"/>
          <w:sz w:val="22"/>
        </w:rPr>
        <w:t xml:space="preserve">l’œuvre de Claude Parent, en concertation avec un conseil d’experts associant l’architecte des bâtiments de France et des historiens de l’architecture contemporaine, de le mettre aux normes de sécurité et d’améliorer ses performances </w:t>
      </w:r>
      <w:r w:rsidRPr="007A270D">
        <w:rPr>
          <w:rFonts w:ascii="Verdana" w:hAnsi="Verdana"/>
          <w:sz w:val="22"/>
        </w:rPr>
        <w:lastRenderedPageBreak/>
        <w:t>acoustiques et thermiques. 111 nouveaux logements ont ainsi pu être créés sur le campus.</w:t>
      </w:r>
    </w:p>
    <w:p w:rsidR="007A270D" w:rsidRPr="007A270D" w:rsidRDefault="007A270D" w:rsidP="007A270D">
      <w:pPr>
        <w:spacing w:after="160" w:line="278" w:lineRule="auto"/>
        <w:contextualSpacing/>
        <w:jc w:val="both"/>
        <w:rPr>
          <w:rFonts w:ascii="Verdana" w:hAnsi="Verdana"/>
          <w:sz w:val="22"/>
        </w:rPr>
      </w:pPr>
      <w:r w:rsidRPr="007A270D">
        <w:rPr>
          <w:rFonts w:ascii="Verdana" w:hAnsi="Verdana"/>
          <w:sz w:val="22"/>
        </w:rPr>
        <w:t>Pour les architectes de l’agence, le défi a consisté à se conformer au Plan Climat tout en respectant l’esthétique d’origine. Dans les huit étages, se répartissent les 111 chambres individuelles d’une vingtaine de mètres carrés. Le confort a été amélioré grâce à l’intégration d’une kitchenette et d’une salle d’eau dans chaque chambre, après suppression des cuisines, douches et sanitaires collectifs.</w:t>
      </w:r>
      <w:r>
        <w:rPr>
          <w:rFonts w:ascii="Verdana" w:hAnsi="Verdana"/>
          <w:sz w:val="22"/>
        </w:rPr>
        <w:t xml:space="preserve"> </w:t>
      </w:r>
      <w:proofErr w:type="gramStart"/>
      <w:r w:rsidRPr="007A270D">
        <w:rPr>
          <w:rFonts w:ascii="Verdana" w:hAnsi="Verdana"/>
          <w:sz w:val="22"/>
        </w:rPr>
        <w:t>l’isolation</w:t>
      </w:r>
      <w:proofErr w:type="gramEnd"/>
      <w:r w:rsidRPr="007A270D">
        <w:rPr>
          <w:rFonts w:ascii="Verdana" w:hAnsi="Verdana"/>
          <w:sz w:val="22"/>
        </w:rPr>
        <w:t xml:space="preserve"> thermique et acoustique ont également été optimisée. Les façades, refaites à l’identique, sont désormais très isolantes et la création d’une ventilation double-flux a amélioré la qualité de l’air et l’efficacité énergétique.</w:t>
      </w:r>
    </w:p>
    <w:p w:rsidR="004B2E84" w:rsidRPr="007A270D" w:rsidRDefault="007A270D" w:rsidP="007A270D">
      <w:pPr>
        <w:spacing w:after="160" w:line="278" w:lineRule="auto"/>
        <w:contextualSpacing/>
        <w:jc w:val="both"/>
        <w:rPr>
          <w:rFonts w:ascii="Verdana" w:hAnsi="Verdana"/>
        </w:rPr>
      </w:pPr>
      <w:r w:rsidRPr="007A270D">
        <w:rPr>
          <w:rFonts w:ascii="Verdana" w:hAnsi="Verdana"/>
          <w:sz w:val="22"/>
        </w:rPr>
        <w:t>Après 14 ans de fermeture, la Fondation Avicenne réhabilitée devient exemplaire en termes de transition énergétique du patrimoine protégé.</w:t>
      </w:r>
    </w:p>
    <w:sectPr w:rsidR="004B2E84" w:rsidRPr="007A270D" w:rsidSect="00124EAE">
      <w:headerReference w:type="even" r:id="rId18"/>
      <w:headerReference w:type="default" r:id="rId19"/>
      <w:footerReference w:type="even" r:id="rId20"/>
      <w:footerReference w:type="default" r:id="rId21"/>
      <w:headerReference w:type="first" r:id="rId22"/>
      <w:footerReference w:type="first" r:id="rId23"/>
      <w:pgSz w:w="11910" w:h="16840" w:code="9"/>
      <w:pgMar w:top="1985" w:right="1134" w:bottom="1701" w:left="1134" w:header="720" w:footer="765"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E19" w:rsidRDefault="00936E19" w:rsidP="00FD4BC5">
      <w:r>
        <w:separator/>
      </w:r>
    </w:p>
    <w:p w:rsidR="00936E19" w:rsidRDefault="00936E19"/>
  </w:endnote>
  <w:endnote w:type="continuationSeparator" w:id="0">
    <w:p w:rsidR="00936E19" w:rsidRDefault="00936E19" w:rsidP="00FD4BC5">
      <w:r>
        <w:continuationSeparator/>
      </w:r>
    </w:p>
    <w:p w:rsidR="00936E19" w:rsidRDefault="00936E19"/>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Std-Roman">
    <w:altName w:val="Arial"/>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mbNewutClassic-Light">
    <w:altName w:val="Calibri"/>
    <w:charset w:val="00"/>
    <w:family w:val="auto"/>
    <w:pitch w:val="variable"/>
    <w:sig w:usb0="800000A7" w:usb1="00000040" w:usb2="00000000" w:usb3="00000000" w:csb0="00000009" w:csb1="00000000"/>
  </w:font>
  <w:font w:name="AmbNewutClassic-Medium">
    <w:charset w:val="00"/>
    <w:family w:val="auto"/>
    <w:pitch w:val="variable"/>
    <w:sig w:usb0="800000A7" w:usb1="00000040" w:usb2="00000000" w:usb3="00000000" w:csb0="00000009" w:csb1="00000000"/>
  </w:font>
  <w:font w:name="AmbNewutClassic-Heavy Medium">
    <w:altName w:val="Trebuchet MS"/>
    <w:charset w:val="00"/>
    <w:family w:val="auto"/>
    <w:pitch w:val="variable"/>
    <w:sig w:usb0="00000003" w:usb1="00000040" w:usb2="00000000" w:usb3="00000000" w:csb0="00000001" w:csb1="00000000"/>
  </w:font>
  <w:font w:name="Helvetica Neue LT Std 75">
    <w:altName w:val="Algerian"/>
    <w:panose1 w:val="00000000000000000000"/>
    <w:charset w:val="4D"/>
    <w:family w:val="swiss"/>
    <w:notTrueType/>
    <w:pitch w:val="variable"/>
    <w:sig w:usb0="00000003" w:usb1="00000000" w:usb2="00000000" w:usb3="00000000" w:csb0="00000001" w:csb1="00000000"/>
  </w:font>
  <w:font w:name="AmbNewutClassic-Heavy">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29B" w:rsidRDefault="00AE329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26D" w:rsidRPr="00F67672" w:rsidRDefault="00B5126D" w:rsidP="00B5126D">
    <w:pPr>
      <w:pStyle w:val="Corpsdetexte"/>
      <w:ind w:hanging="709"/>
      <w:jc w:val="right"/>
      <w:rPr>
        <w:lang w:val="fr-FR"/>
      </w:rPr>
    </w:pPr>
    <w:r>
      <w:rPr>
        <w:noProof/>
        <w:lang w:val="fr-FR" w:bidi="ar-SA"/>
      </w:rPr>
      <w:drawing>
        <wp:anchor distT="0" distB="0" distL="114300" distR="114300" simplePos="0" relativeHeight="251673600" behindDoc="0" locked="0" layoutInCell="1" allowOverlap="1">
          <wp:simplePos x="0" y="0"/>
          <wp:positionH relativeFrom="column">
            <wp:posOffset>-367007</wp:posOffset>
          </wp:positionH>
          <wp:positionV relativeFrom="paragraph">
            <wp:posOffset>316230</wp:posOffset>
          </wp:positionV>
          <wp:extent cx="1623649" cy="190500"/>
          <wp:effectExtent l="0" t="0" r="0" b="0"/>
          <wp:wrapSquare wrapText="bothSides"/>
          <wp:docPr id="15" name="Image 15"/>
          <wp:cNvGraphicFramePr/>
          <a:graphic xmlns:a="http://schemas.openxmlformats.org/drawingml/2006/main">
            <a:graphicData uri="http://schemas.openxmlformats.org/drawingml/2006/picture">
              <pic:pic xmlns:pic="http://schemas.openxmlformats.org/drawingml/2006/picture">
                <pic:nvPicPr>
                  <pic:cNvPr id="2" name="Image 2" descr="signature-mail V6fs-05"/>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3649" cy="190500"/>
                  </a:xfrm>
                  <a:prstGeom prst="rect">
                    <a:avLst/>
                  </a:prstGeom>
                  <a:noFill/>
                  <a:ln>
                    <a:noFill/>
                  </a:ln>
                </pic:spPr>
              </pic:pic>
            </a:graphicData>
          </a:graphic>
        </wp:anchor>
      </w:drawing>
    </w:r>
    <w:r>
      <w:rPr>
        <w:color w:val="7F7F7F" w:themeColor="text1" w:themeTint="80"/>
        <w:sz w:val="20"/>
        <w:szCs w:val="20"/>
        <w:lang w:val="fr-FR"/>
      </w:rPr>
      <w:br/>
    </w:r>
  </w:p>
  <w:p w:rsidR="00B5126D" w:rsidRPr="00B5126D" w:rsidRDefault="00B5126D" w:rsidP="00B5126D">
    <w:pPr>
      <w:pStyle w:val="Pieddepage"/>
    </w:pPr>
    <w:r>
      <w:tab/>
    </w:r>
    <w:r w:rsidR="00124EAE">
      <w:rPr>
        <w:rStyle w:val="En-tetePiedpageCar"/>
      </w:rPr>
      <w:t>DICOM</w:t>
    </w:r>
    <w:r w:rsidR="00B27037" w:rsidRPr="00B27037">
      <w:rPr>
        <w:rStyle w:val="En-tetePiedpageCar"/>
      </w:rPr>
      <w:t xml:space="preserve"> |</w:t>
    </w:r>
    <w:r w:rsidR="00124EAE">
      <w:rPr>
        <w:rStyle w:val="En-tetePiedpageCar"/>
      </w:rPr>
      <w:t xml:space="preserve"> </w:t>
    </w:r>
    <w:r w:rsidR="00AE329B">
      <w:rPr>
        <w:rStyle w:val="En-tetePiedpageCar"/>
      </w:rPr>
      <w:t>14</w:t>
    </w:r>
    <w:r w:rsidR="00124EAE">
      <w:rPr>
        <w:rStyle w:val="En-tetePiedpageCar"/>
      </w:rPr>
      <w:t>/01/202</w:t>
    </w:r>
    <w:r w:rsidR="00AE329B">
      <w:rPr>
        <w:rStyle w:val="En-tetePiedpageCar"/>
      </w:rPr>
      <w:t>6</w:t>
    </w:r>
    <w:r>
      <w:tab/>
    </w:r>
    <w:r w:rsidR="00061923" w:rsidRPr="00BC56D2">
      <w:rPr>
        <w:rFonts w:ascii="Calibri Light" w:hAnsi="Calibri Light" w:cs="Calibri Light"/>
        <w:sz w:val="16"/>
        <w:szCs w:val="16"/>
      </w:rPr>
      <w:fldChar w:fldCharType="begin"/>
    </w:r>
    <w:r w:rsidRPr="00BC56D2">
      <w:rPr>
        <w:rFonts w:ascii="Calibri Light" w:hAnsi="Calibri Light" w:cs="Calibri Light"/>
        <w:sz w:val="16"/>
        <w:szCs w:val="16"/>
      </w:rPr>
      <w:instrText>PAGE   \* MERGEFORMAT</w:instrText>
    </w:r>
    <w:r w:rsidR="00061923" w:rsidRPr="00BC56D2">
      <w:rPr>
        <w:rFonts w:ascii="Calibri Light" w:hAnsi="Calibri Light" w:cs="Calibri Light"/>
        <w:sz w:val="16"/>
        <w:szCs w:val="16"/>
      </w:rPr>
      <w:fldChar w:fldCharType="separate"/>
    </w:r>
    <w:r w:rsidR="004F2F38">
      <w:rPr>
        <w:rFonts w:ascii="Calibri Light" w:hAnsi="Calibri Light" w:cs="Calibri Light"/>
        <w:noProof/>
        <w:sz w:val="16"/>
        <w:szCs w:val="16"/>
      </w:rPr>
      <w:t>7</w:t>
    </w:r>
    <w:r w:rsidR="00061923" w:rsidRPr="00BC56D2">
      <w:rPr>
        <w:rFonts w:ascii="Calibri Light" w:hAnsi="Calibri Light" w:cs="Calibri Light"/>
        <w:sz w:val="16"/>
        <w:szCs w:val="16"/>
      </w:rPr>
      <w:fldChar w:fldCharType="end"/>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4B6" w:rsidRPr="00F67672" w:rsidRDefault="00B5126D" w:rsidP="00F034B6">
    <w:pPr>
      <w:pStyle w:val="Corpsdetexte"/>
      <w:ind w:hanging="709"/>
      <w:jc w:val="right"/>
      <w:rPr>
        <w:lang w:val="fr-FR"/>
      </w:rPr>
    </w:pPr>
    <w:r>
      <w:rPr>
        <w:noProof/>
        <w:lang w:val="fr-FR" w:bidi="ar-SA"/>
      </w:rPr>
      <w:drawing>
        <wp:anchor distT="0" distB="0" distL="114300" distR="114300" simplePos="0" relativeHeight="251671552" behindDoc="0" locked="0" layoutInCell="1" allowOverlap="1">
          <wp:simplePos x="0" y="0"/>
          <wp:positionH relativeFrom="column">
            <wp:posOffset>-367007</wp:posOffset>
          </wp:positionH>
          <wp:positionV relativeFrom="paragraph">
            <wp:posOffset>316230</wp:posOffset>
          </wp:positionV>
          <wp:extent cx="1623649" cy="190500"/>
          <wp:effectExtent l="0" t="0" r="0" b="0"/>
          <wp:wrapSquare wrapText="bothSides"/>
          <wp:docPr id="13" name="Image 13"/>
          <wp:cNvGraphicFramePr/>
          <a:graphic xmlns:a="http://schemas.openxmlformats.org/drawingml/2006/main">
            <a:graphicData uri="http://schemas.openxmlformats.org/drawingml/2006/picture">
              <pic:pic xmlns:pic="http://schemas.openxmlformats.org/drawingml/2006/picture">
                <pic:nvPicPr>
                  <pic:cNvPr id="2" name="Image 2" descr="signature-mail V6fs-05"/>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3649" cy="190500"/>
                  </a:xfrm>
                  <a:prstGeom prst="rect">
                    <a:avLst/>
                  </a:prstGeom>
                  <a:noFill/>
                  <a:ln>
                    <a:noFill/>
                  </a:ln>
                </pic:spPr>
              </pic:pic>
            </a:graphicData>
          </a:graphic>
        </wp:anchor>
      </w:drawing>
    </w:r>
    <w:r w:rsidR="005D6E35">
      <w:rPr>
        <w:color w:val="7F7F7F" w:themeColor="text1" w:themeTint="80"/>
        <w:sz w:val="20"/>
        <w:szCs w:val="20"/>
        <w:lang w:val="fr-FR"/>
      </w:rPr>
      <w:br/>
    </w:r>
  </w:p>
  <w:p w:rsidR="00AA180A" w:rsidRDefault="00605096" w:rsidP="00B0561A">
    <w:pPr>
      <w:pStyle w:val="Pieddepage"/>
    </w:pPr>
    <w:r>
      <w:tab/>
    </w:r>
    <w:r w:rsidR="00A054E5">
      <w:rPr>
        <w:rStyle w:val="En-tetePiedpageCar"/>
      </w:rPr>
      <w:t>DICOM 6 novembre 2021</w:t>
    </w:r>
    <w:r>
      <w:tab/>
    </w:r>
    <w:r w:rsidR="00061923" w:rsidRPr="00BC56D2">
      <w:rPr>
        <w:rFonts w:ascii="Calibri Light" w:hAnsi="Calibri Light" w:cs="Calibri Light"/>
        <w:sz w:val="16"/>
        <w:szCs w:val="16"/>
      </w:rPr>
      <w:fldChar w:fldCharType="begin"/>
    </w:r>
    <w:r w:rsidRPr="00BC56D2">
      <w:rPr>
        <w:rFonts w:ascii="Calibri Light" w:hAnsi="Calibri Light" w:cs="Calibri Light"/>
        <w:sz w:val="16"/>
        <w:szCs w:val="16"/>
      </w:rPr>
      <w:instrText>PAGE   \* MERGEFORMAT</w:instrText>
    </w:r>
    <w:r w:rsidR="00061923" w:rsidRPr="00BC56D2">
      <w:rPr>
        <w:rFonts w:ascii="Calibri Light" w:hAnsi="Calibri Light" w:cs="Calibri Light"/>
        <w:sz w:val="16"/>
        <w:szCs w:val="16"/>
      </w:rPr>
      <w:fldChar w:fldCharType="separate"/>
    </w:r>
    <w:r w:rsidR="004F2F38">
      <w:rPr>
        <w:rFonts w:ascii="Calibri Light" w:hAnsi="Calibri Light" w:cs="Calibri Light"/>
        <w:noProof/>
        <w:sz w:val="16"/>
        <w:szCs w:val="16"/>
      </w:rPr>
      <w:t>1</w:t>
    </w:r>
    <w:r w:rsidR="00061923" w:rsidRPr="00BC56D2">
      <w:rPr>
        <w:rFonts w:ascii="Calibri Light" w:hAnsi="Calibri Light" w:cs="Calibri Light"/>
        <w:sz w:val="16"/>
        <w:szCs w:val="16"/>
      </w:rPr>
      <w:fldChar w:fldCharType="end"/>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E19" w:rsidRDefault="00936E19" w:rsidP="00FD4BC5">
      <w:r>
        <w:separator/>
      </w:r>
    </w:p>
    <w:p w:rsidR="00936E19" w:rsidRDefault="00936E19"/>
  </w:footnote>
  <w:footnote w:type="continuationSeparator" w:id="0">
    <w:p w:rsidR="00936E19" w:rsidRDefault="00936E19" w:rsidP="00FD4BC5">
      <w:r>
        <w:continuationSeparator/>
      </w:r>
    </w:p>
    <w:p w:rsidR="00936E19" w:rsidRDefault="00936E1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29B" w:rsidRDefault="00AE329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D63" w:rsidRPr="00134433" w:rsidRDefault="00AA180A" w:rsidP="00B27037">
    <w:pPr>
      <w:pStyle w:val="En-tetePiedpage"/>
    </w:pPr>
    <w:r w:rsidRPr="00134433">
      <w:tab/>
    </w:r>
    <w:r w:rsidRPr="00134433">
      <w:tab/>
    </w:r>
    <w:r w:rsidRPr="00134433">
      <w:tab/>
    </w:r>
    <w:r w:rsidRPr="00134433">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80A" w:rsidRPr="009B1B87" w:rsidRDefault="00AA180A" w:rsidP="00B27037">
    <w:pPr>
      <w:pStyle w:val="En-tetePiedpage"/>
      <w:rPr>
        <w:sz w:val="20"/>
        <w:szCs w:val="20"/>
      </w:rPr>
    </w:pPr>
    <w:r w:rsidRPr="009B1B87">
      <w:rPr>
        <w:noProof/>
        <w:sz w:val="20"/>
        <w:szCs w:val="20"/>
        <w:lang w:bidi="ar-SA"/>
      </w:rPr>
      <w:drawing>
        <wp:anchor distT="0" distB="0" distL="0" distR="0" simplePos="0" relativeHeight="251665408" behindDoc="0" locked="0" layoutInCell="1" allowOverlap="1">
          <wp:simplePos x="0" y="0"/>
          <wp:positionH relativeFrom="page">
            <wp:posOffset>5290234</wp:posOffset>
          </wp:positionH>
          <wp:positionV relativeFrom="page">
            <wp:posOffset>337457</wp:posOffset>
          </wp:positionV>
          <wp:extent cx="1911600" cy="774000"/>
          <wp:effectExtent l="0" t="0" r="0" b="0"/>
          <wp:wrapNone/>
          <wp:docPr id="1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pn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600" cy="774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704D"/>
    <w:multiLevelType w:val="hybridMultilevel"/>
    <w:tmpl w:val="A0E857C2"/>
    <w:lvl w:ilvl="0" w:tplc="195C5246">
      <w:start w:val="1"/>
      <w:numFmt w:val="lowerLetter"/>
      <w:lvlText w:val="%1."/>
      <w:lvlJc w:val="left"/>
      <w:pPr>
        <w:ind w:left="720" w:hanging="360"/>
      </w:pPr>
      <w:rPr>
        <w:rFonts w:ascii="Calibri Light" w:hAnsi="Calibri Light" w:hint="default"/>
        <w:color w:val="47D7AC"/>
        <w:spacing w:val="-13"/>
        <w:w w:val="100"/>
        <w:sz w:val="2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F707B9"/>
    <w:multiLevelType w:val="hybridMultilevel"/>
    <w:tmpl w:val="D30027FC"/>
    <w:lvl w:ilvl="0" w:tplc="6CF08F8E">
      <w:numFmt w:val="bullet"/>
      <w:lvlText w:val="•"/>
      <w:lvlJc w:val="left"/>
      <w:pPr>
        <w:ind w:left="1080" w:hanging="720"/>
      </w:pPr>
      <w:rPr>
        <w:rFonts w:ascii="Calibri Light" w:eastAsia="HelveticaNeueLTStd-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6B3A9C"/>
    <w:multiLevelType w:val="hybridMultilevel"/>
    <w:tmpl w:val="CD5CD19A"/>
    <w:lvl w:ilvl="0" w:tplc="15E69702">
      <w:start w:val="1"/>
      <w:numFmt w:val="decimal"/>
      <w:lvlText w:val="%1."/>
      <w:lvlJc w:val="left"/>
      <w:pPr>
        <w:ind w:left="720" w:hanging="360"/>
      </w:pPr>
      <w:rPr>
        <w:rFonts w:ascii="Calibri Light" w:hAnsi="Calibri Light" w:hint="default"/>
        <w:b w:val="0"/>
        <w:i w:val="0"/>
        <w:color w:val="47D7AC"/>
        <w:spacing w:val="-13"/>
        <w:w w:val="100"/>
        <w:sz w:val="22"/>
        <w:szCs w:val="24"/>
        <w:u w:color="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F19321F"/>
    <w:multiLevelType w:val="hybridMultilevel"/>
    <w:tmpl w:val="0A129ECA"/>
    <w:lvl w:ilvl="0" w:tplc="29784ADC">
      <w:numFmt w:val="bullet"/>
      <w:lvlText w:val="•"/>
      <w:lvlJc w:val="left"/>
      <w:pPr>
        <w:ind w:left="720" w:hanging="360"/>
      </w:pPr>
      <w:rPr>
        <w:rFonts w:hint="default"/>
        <w:b/>
        <w:i w:val="0"/>
        <w:color w:val="47D7AC"/>
        <w:spacing w:val="-13"/>
        <w:w w:val="100"/>
        <w:sz w:val="24"/>
        <w:szCs w:val="24"/>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50F582F"/>
    <w:multiLevelType w:val="hybridMultilevel"/>
    <w:tmpl w:val="77C681BA"/>
    <w:lvl w:ilvl="0" w:tplc="04B63C60">
      <w:numFmt w:val="bullet"/>
      <w:lvlText w:val="•"/>
      <w:lvlJc w:val="left"/>
      <w:pPr>
        <w:ind w:left="1080" w:hanging="720"/>
      </w:pPr>
      <w:rPr>
        <w:rFonts w:ascii="Calibri Light" w:eastAsia="HelveticaNeueLTStd-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870D34"/>
    <w:multiLevelType w:val="hybridMultilevel"/>
    <w:tmpl w:val="74E2610C"/>
    <w:lvl w:ilvl="0" w:tplc="29784ADC">
      <w:numFmt w:val="bullet"/>
      <w:lvlText w:val="•"/>
      <w:lvlJc w:val="left"/>
      <w:pPr>
        <w:ind w:left="720" w:hanging="360"/>
      </w:pPr>
      <w:rPr>
        <w:rFonts w:hint="default"/>
        <w:color w:val="47D7AC"/>
        <w:spacing w:val="-13"/>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B965AEB"/>
    <w:multiLevelType w:val="hybridMultilevel"/>
    <w:tmpl w:val="F0A6CFAC"/>
    <w:lvl w:ilvl="0" w:tplc="391C3BA0">
      <w:start w:val="1"/>
      <w:numFmt w:val="upperRoman"/>
      <w:lvlText w:val="%1."/>
      <w:lvlJc w:val="left"/>
      <w:pPr>
        <w:ind w:left="720" w:hanging="360"/>
      </w:pPr>
      <w:rPr>
        <w:rFonts w:ascii="Calibri Light" w:hAnsi="Calibri Light" w:hint="default"/>
        <w:b w:val="0"/>
        <w:i w:val="0"/>
        <w:color w:val="47D7AC"/>
        <w:spacing w:val="-13"/>
        <w:w w:val="100"/>
        <w:sz w:val="22"/>
        <w:szCs w:val="24"/>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1390FEB"/>
    <w:multiLevelType w:val="hybridMultilevel"/>
    <w:tmpl w:val="ECA2B2D2"/>
    <w:lvl w:ilvl="0" w:tplc="56960DC0">
      <w:start w:val="1"/>
      <w:numFmt w:val="decimal"/>
      <w:lvlText w:val="%1."/>
      <w:lvlJc w:val="left"/>
      <w:pPr>
        <w:ind w:left="720" w:hanging="360"/>
      </w:pPr>
      <w:rPr>
        <w:rFonts w:ascii="Calibri Light" w:hAnsi="Calibri Light" w:hint="default"/>
        <w:b/>
        <w:i w:val="0"/>
        <w:color w:val="47D7AC"/>
        <w:spacing w:val="-13"/>
        <w:w w:val="100"/>
        <w:sz w:val="22"/>
        <w:szCs w:val="24"/>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91008E"/>
    <w:multiLevelType w:val="hybridMultilevel"/>
    <w:tmpl w:val="112E7404"/>
    <w:lvl w:ilvl="0" w:tplc="56960DC0">
      <w:start w:val="1"/>
      <w:numFmt w:val="decimal"/>
      <w:lvlText w:val="%1."/>
      <w:lvlJc w:val="left"/>
      <w:pPr>
        <w:ind w:left="720" w:hanging="360"/>
      </w:pPr>
      <w:rPr>
        <w:rFonts w:ascii="Calibri Light" w:hAnsi="Calibri Light" w:hint="default"/>
        <w:b/>
        <w:i w:val="0"/>
        <w:color w:val="47D7AC"/>
        <w:spacing w:val="-13"/>
        <w:w w:val="100"/>
        <w:sz w:val="22"/>
        <w:szCs w:val="24"/>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3B60E0F"/>
    <w:multiLevelType w:val="hybridMultilevel"/>
    <w:tmpl w:val="F72E6286"/>
    <w:lvl w:ilvl="0" w:tplc="465A3EDA">
      <w:numFmt w:val="bullet"/>
      <w:lvlText w:val="•"/>
      <w:lvlJc w:val="left"/>
      <w:pPr>
        <w:ind w:left="720" w:hanging="360"/>
      </w:pPr>
      <w:rPr>
        <w:rFonts w:hint="default"/>
        <w:color w:val="5CCAE8"/>
        <w:spacing w:val="-13"/>
        <w:w w:val="100"/>
        <w:sz w:val="24"/>
        <w:szCs w:val="24"/>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46840BD"/>
    <w:multiLevelType w:val="hybridMultilevel"/>
    <w:tmpl w:val="C11E161C"/>
    <w:lvl w:ilvl="0" w:tplc="29784ADC">
      <w:numFmt w:val="bullet"/>
      <w:lvlText w:val="•"/>
      <w:lvlJc w:val="left"/>
      <w:pPr>
        <w:ind w:left="720" w:hanging="360"/>
      </w:pPr>
      <w:rPr>
        <w:rFonts w:hint="default"/>
        <w:color w:val="47D7AC"/>
        <w:spacing w:val="-13"/>
        <w:w w:val="100"/>
        <w:sz w:val="24"/>
        <w:szCs w:val="24"/>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A922694"/>
    <w:multiLevelType w:val="hybridMultilevel"/>
    <w:tmpl w:val="7A58DE3C"/>
    <w:lvl w:ilvl="0" w:tplc="29784ADC">
      <w:numFmt w:val="bullet"/>
      <w:lvlText w:val="•"/>
      <w:lvlJc w:val="left"/>
      <w:pPr>
        <w:ind w:left="720" w:hanging="360"/>
      </w:pPr>
      <w:rPr>
        <w:rFonts w:hint="default"/>
        <w:color w:val="47D7AC"/>
        <w:spacing w:val="-13"/>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657C16"/>
    <w:multiLevelType w:val="hybridMultilevel"/>
    <w:tmpl w:val="7CBA6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B61F50"/>
    <w:multiLevelType w:val="hybridMultilevel"/>
    <w:tmpl w:val="E1783476"/>
    <w:lvl w:ilvl="0" w:tplc="29784ADC">
      <w:numFmt w:val="bullet"/>
      <w:lvlText w:val="•"/>
      <w:lvlJc w:val="left"/>
      <w:pPr>
        <w:ind w:left="720" w:hanging="360"/>
      </w:pPr>
      <w:rPr>
        <w:rFonts w:hint="default"/>
        <w:color w:val="47D7AC"/>
        <w:spacing w:val="-13"/>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8743B15"/>
    <w:multiLevelType w:val="hybridMultilevel"/>
    <w:tmpl w:val="C31CA9FE"/>
    <w:lvl w:ilvl="0" w:tplc="29784ADC">
      <w:numFmt w:val="bullet"/>
      <w:lvlText w:val="•"/>
      <w:lvlJc w:val="left"/>
      <w:pPr>
        <w:ind w:left="720" w:hanging="360"/>
      </w:pPr>
      <w:rPr>
        <w:rFonts w:hint="default"/>
        <w:color w:val="47D7AC"/>
        <w:spacing w:val="-13"/>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DD7A7F"/>
    <w:multiLevelType w:val="hybridMultilevel"/>
    <w:tmpl w:val="56AC9404"/>
    <w:lvl w:ilvl="0" w:tplc="F28C831C">
      <w:start w:val="1"/>
      <w:numFmt w:val="bullet"/>
      <w:lvlText w:val=""/>
      <w:lvlJc w:val="left"/>
      <w:pPr>
        <w:ind w:left="720" w:hanging="360"/>
      </w:pPr>
      <w:rPr>
        <w:rFonts w:ascii="Symbol" w:hAnsi="Symbol" w:hint="default"/>
        <w:color w:val="47D7AC"/>
        <w:spacing w:val="-13"/>
        <w:w w:val="100"/>
        <w:sz w:val="16"/>
        <w:szCs w:val="24"/>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1B4375C"/>
    <w:multiLevelType w:val="hybridMultilevel"/>
    <w:tmpl w:val="29A2A8DE"/>
    <w:lvl w:ilvl="0" w:tplc="138C34FE">
      <w:start w:val="1"/>
      <w:numFmt w:val="bullet"/>
      <w:lvlText w:val="o"/>
      <w:lvlJc w:val="left"/>
      <w:pPr>
        <w:ind w:left="720" w:hanging="360"/>
      </w:pPr>
      <w:rPr>
        <w:rFonts w:ascii="Courier New" w:hAnsi="Courier New" w:hint="default"/>
        <w:color w:val="47D7AC"/>
        <w:spacing w:val="-13"/>
        <w:w w:val="100"/>
        <w:sz w:val="12"/>
        <w:szCs w:val="24"/>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282128D"/>
    <w:multiLevelType w:val="hybridMultilevel"/>
    <w:tmpl w:val="5C660BBA"/>
    <w:lvl w:ilvl="0" w:tplc="F5183F1A">
      <w:numFmt w:val="bullet"/>
      <w:lvlText w:val="•"/>
      <w:lvlJc w:val="left"/>
      <w:pPr>
        <w:ind w:left="720" w:hanging="360"/>
      </w:pPr>
      <w:rPr>
        <w:rFonts w:hint="default"/>
        <w:color w:val="5CCAE8"/>
        <w:spacing w:val="-13"/>
        <w:w w:val="100"/>
        <w:sz w:val="22"/>
        <w:szCs w:val="24"/>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48E13E4"/>
    <w:multiLevelType w:val="hybridMultilevel"/>
    <w:tmpl w:val="A6F6DF82"/>
    <w:lvl w:ilvl="0" w:tplc="29784ADC">
      <w:numFmt w:val="bullet"/>
      <w:lvlText w:val="•"/>
      <w:lvlJc w:val="left"/>
      <w:pPr>
        <w:ind w:left="720" w:hanging="360"/>
      </w:pPr>
      <w:rPr>
        <w:rFonts w:hint="default"/>
        <w:color w:val="47D7AC"/>
        <w:spacing w:val="-13"/>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BC52583"/>
    <w:multiLevelType w:val="multilevel"/>
    <w:tmpl w:val="7294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E796A57"/>
    <w:multiLevelType w:val="hybridMultilevel"/>
    <w:tmpl w:val="99E672C8"/>
    <w:lvl w:ilvl="0" w:tplc="002E437C">
      <w:numFmt w:val="bullet"/>
      <w:lvlText w:val="•"/>
      <w:lvlJc w:val="left"/>
      <w:pPr>
        <w:ind w:left="513" w:hanging="360"/>
      </w:pPr>
      <w:rPr>
        <w:rFonts w:ascii="HelveticaNeueLTStd-Roman" w:eastAsia="HelveticaNeueLTStd-Roman" w:hAnsi="HelveticaNeueLTStd-Roman" w:cs="HelveticaNeueLTStd-Roman" w:hint="default"/>
        <w:color w:val="5CCAE8"/>
        <w:spacing w:val="-13"/>
        <w:w w:val="100"/>
        <w:sz w:val="24"/>
        <w:szCs w:val="24"/>
        <w:lang w:val="fr-FR" w:eastAsia="fr-FR" w:bidi="fr-FR"/>
      </w:rPr>
    </w:lvl>
    <w:lvl w:ilvl="1" w:tplc="465A3EDA">
      <w:numFmt w:val="bullet"/>
      <w:lvlText w:val="•"/>
      <w:lvlJc w:val="left"/>
      <w:pPr>
        <w:ind w:left="1526" w:hanging="360"/>
      </w:pPr>
      <w:rPr>
        <w:rFonts w:hint="default"/>
        <w:lang w:val="fr-FR" w:eastAsia="fr-FR" w:bidi="fr-FR"/>
      </w:rPr>
    </w:lvl>
    <w:lvl w:ilvl="2" w:tplc="B24C9BAC">
      <w:numFmt w:val="bullet"/>
      <w:lvlText w:val="•"/>
      <w:lvlJc w:val="left"/>
      <w:pPr>
        <w:ind w:left="2533" w:hanging="360"/>
      </w:pPr>
      <w:rPr>
        <w:rFonts w:hint="default"/>
        <w:lang w:val="fr-FR" w:eastAsia="fr-FR" w:bidi="fr-FR"/>
      </w:rPr>
    </w:lvl>
    <w:lvl w:ilvl="3" w:tplc="B18A8E4A">
      <w:numFmt w:val="bullet"/>
      <w:lvlText w:val="•"/>
      <w:lvlJc w:val="left"/>
      <w:pPr>
        <w:ind w:left="3539" w:hanging="360"/>
      </w:pPr>
      <w:rPr>
        <w:rFonts w:hint="default"/>
        <w:lang w:val="fr-FR" w:eastAsia="fr-FR" w:bidi="fr-FR"/>
      </w:rPr>
    </w:lvl>
    <w:lvl w:ilvl="4" w:tplc="453A2DB0">
      <w:numFmt w:val="bullet"/>
      <w:lvlText w:val="•"/>
      <w:lvlJc w:val="left"/>
      <w:pPr>
        <w:ind w:left="4546" w:hanging="360"/>
      </w:pPr>
      <w:rPr>
        <w:rFonts w:hint="default"/>
        <w:lang w:val="fr-FR" w:eastAsia="fr-FR" w:bidi="fr-FR"/>
      </w:rPr>
    </w:lvl>
    <w:lvl w:ilvl="5" w:tplc="29F28CA4">
      <w:numFmt w:val="bullet"/>
      <w:lvlText w:val="•"/>
      <w:lvlJc w:val="left"/>
      <w:pPr>
        <w:ind w:left="5552" w:hanging="360"/>
      </w:pPr>
      <w:rPr>
        <w:rFonts w:hint="default"/>
        <w:lang w:val="fr-FR" w:eastAsia="fr-FR" w:bidi="fr-FR"/>
      </w:rPr>
    </w:lvl>
    <w:lvl w:ilvl="6" w:tplc="F8AA190E">
      <w:numFmt w:val="bullet"/>
      <w:lvlText w:val="•"/>
      <w:lvlJc w:val="left"/>
      <w:pPr>
        <w:ind w:left="6559" w:hanging="360"/>
      </w:pPr>
      <w:rPr>
        <w:rFonts w:hint="default"/>
        <w:lang w:val="fr-FR" w:eastAsia="fr-FR" w:bidi="fr-FR"/>
      </w:rPr>
    </w:lvl>
    <w:lvl w:ilvl="7" w:tplc="8B9EC8A4">
      <w:numFmt w:val="bullet"/>
      <w:lvlText w:val="•"/>
      <w:lvlJc w:val="left"/>
      <w:pPr>
        <w:ind w:left="7565" w:hanging="360"/>
      </w:pPr>
      <w:rPr>
        <w:rFonts w:hint="default"/>
        <w:lang w:val="fr-FR" w:eastAsia="fr-FR" w:bidi="fr-FR"/>
      </w:rPr>
    </w:lvl>
    <w:lvl w:ilvl="8" w:tplc="CF0473BC">
      <w:numFmt w:val="bullet"/>
      <w:lvlText w:val="•"/>
      <w:lvlJc w:val="left"/>
      <w:pPr>
        <w:ind w:left="8572" w:hanging="360"/>
      </w:pPr>
      <w:rPr>
        <w:rFonts w:hint="default"/>
        <w:lang w:val="fr-FR" w:eastAsia="fr-FR" w:bidi="fr-FR"/>
      </w:rPr>
    </w:lvl>
  </w:abstractNum>
  <w:abstractNum w:abstractNumId="21">
    <w:nsid w:val="6F5A1005"/>
    <w:multiLevelType w:val="hybridMultilevel"/>
    <w:tmpl w:val="A39C2710"/>
    <w:lvl w:ilvl="0" w:tplc="29784ADC">
      <w:numFmt w:val="bullet"/>
      <w:lvlText w:val="•"/>
      <w:lvlJc w:val="left"/>
      <w:pPr>
        <w:ind w:left="720" w:hanging="360"/>
      </w:pPr>
      <w:rPr>
        <w:rFonts w:hint="default"/>
        <w:color w:val="47D7AC"/>
        <w:spacing w:val="-13"/>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4227D54"/>
    <w:multiLevelType w:val="hybridMultilevel"/>
    <w:tmpl w:val="99F4B476"/>
    <w:lvl w:ilvl="0" w:tplc="F28C831C">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57B3DFE"/>
    <w:multiLevelType w:val="hybridMultilevel"/>
    <w:tmpl w:val="0CD24B88"/>
    <w:lvl w:ilvl="0" w:tplc="040C000F">
      <w:start w:val="1"/>
      <w:numFmt w:val="decimal"/>
      <w:lvlText w:val="%1."/>
      <w:lvlJc w:val="left"/>
      <w:pPr>
        <w:ind w:left="720" w:hanging="360"/>
      </w:pPr>
      <w:rPr>
        <w:rFonts w:hint="default"/>
        <w:color w:val="47D7AC"/>
        <w:spacing w:val="-13"/>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A636C4E"/>
    <w:multiLevelType w:val="hybridMultilevel"/>
    <w:tmpl w:val="F45C26C0"/>
    <w:lvl w:ilvl="0" w:tplc="465A3EDA">
      <w:numFmt w:val="bullet"/>
      <w:lvlText w:val="•"/>
      <w:lvlJc w:val="left"/>
      <w:pPr>
        <w:ind w:left="720" w:hanging="360"/>
      </w:pPr>
      <w:rPr>
        <w:rFonts w:hint="default"/>
        <w:color w:val="5CCAE8"/>
        <w:spacing w:val="-13"/>
        <w:w w:val="100"/>
        <w:sz w:val="24"/>
        <w:szCs w:val="24"/>
        <w:lang w:val="fr-FR" w:eastAsia="fr-FR" w:bidi="fr-FR"/>
      </w:rPr>
    </w:lvl>
    <w:lvl w:ilvl="1" w:tplc="465A3EDA">
      <w:numFmt w:val="bullet"/>
      <w:lvlText w:val="•"/>
      <w:lvlJc w:val="left"/>
      <w:pPr>
        <w:ind w:left="1440" w:hanging="360"/>
      </w:pPr>
      <w:rPr>
        <w:rFonts w:hint="default"/>
        <w:lang w:val="fr-FR" w:eastAsia="fr-FR" w:bidi="fr-FR"/>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CAA6A27"/>
    <w:multiLevelType w:val="hybridMultilevel"/>
    <w:tmpl w:val="D54A021E"/>
    <w:lvl w:ilvl="0" w:tplc="29784ADC">
      <w:numFmt w:val="bullet"/>
      <w:lvlText w:val="•"/>
      <w:lvlJc w:val="left"/>
      <w:pPr>
        <w:ind w:left="720" w:hanging="360"/>
      </w:pPr>
      <w:rPr>
        <w:rFonts w:hint="default"/>
        <w:color w:val="47D7AC"/>
        <w:spacing w:val="-13"/>
        <w:w w:val="1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D4D3C82"/>
    <w:multiLevelType w:val="hybridMultilevel"/>
    <w:tmpl w:val="911C75B4"/>
    <w:lvl w:ilvl="0" w:tplc="1E563D3A">
      <w:start w:val="1"/>
      <w:numFmt w:val="decimal"/>
      <w:lvlText w:val="%1."/>
      <w:lvlJc w:val="left"/>
      <w:pPr>
        <w:ind w:left="1440" w:hanging="360"/>
      </w:pPr>
      <w:rPr>
        <w:color w:val="5CCAE8"/>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0"/>
  </w:num>
  <w:num w:numId="2">
    <w:abstractNumId w:val="24"/>
  </w:num>
  <w:num w:numId="3">
    <w:abstractNumId w:val="12"/>
  </w:num>
  <w:num w:numId="4">
    <w:abstractNumId w:val="17"/>
  </w:num>
  <w:num w:numId="5">
    <w:abstractNumId w:val="26"/>
  </w:num>
  <w:num w:numId="6">
    <w:abstractNumId w:val="9"/>
  </w:num>
  <w:num w:numId="7">
    <w:abstractNumId w:val="10"/>
  </w:num>
  <w:num w:numId="8">
    <w:abstractNumId w:val="16"/>
  </w:num>
  <w:num w:numId="9">
    <w:abstractNumId w:val="15"/>
  </w:num>
  <w:num w:numId="10">
    <w:abstractNumId w:val="22"/>
  </w:num>
  <w:num w:numId="11">
    <w:abstractNumId w:val="14"/>
  </w:num>
  <w:num w:numId="12">
    <w:abstractNumId w:val="23"/>
  </w:num>
  <w:num w:numId="13">
    <w:abstractNumId w:val="0"/>
  </w:num>
  <w:num w:numId="14">
    <w:abstractNumId w:val="7"/>
  </w:num>
  <w:num w:numId="15">
    <w:abstractNumId w:val="6"/>
  </w:num>
  <w:num w:numId="16">
    <w:abstractNumId w:val="8"/>
  </w:num>
  <w:num w:numId="17">
    <w:abstractNumId w:val="3"/>
  </w:num>
  <w:num w:numId="18">
    <w:abstractNumId w:val="2"/>
  </w:num>
  <w:num w:numId="19">
    <w:abstractNumId w:val="13"/>
  </w:num>
  <w:num w:numId="20">
    <w:abstractNumId w:val="5"/>
  </w:num>
  <w:num w:numId="21">
    <w:abstractNumId w:val="1"/>
  </w:num>
  <w:num w:numId="22">
    <w:abstractNumId w:val="18"/>
  </w:num>
  <w:num w:numId="23">
    <w:abstractNumId w:val="4"/>
  </w:num>
  <w:num w:numId="24">
    <w:abstractNumId w:val="25"/>
  </w:num>
  <w:num w:numId="25">
    <w:abstractNumId w:val="11"/>
  </w:num>
  <w:num w:numId="26">
    <w:abstractNumId w:val="21"/>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021"/>
  <w:stylePaneSortMethod w:val="0000"/>
  <w:defaultTabStop w:val="720"/>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lTrailSpace/>
  </w:compat>
  <w:rsids>
    <w:rsidRoot w:val="00826AE0"/>
    <w:rsid w:val="000067F9"/>
    <w:rsid w:val="00011B35"/>
    <w:rsid w:val="000213DE"/>
    <w:rsid w:val="00034E5F"/>
    <w:rsid w:val="000536BC"/>
    <w:rsid w:val="00061923"/>
    <w:rsid w:val="00065A61"/>
    <w:rsid w:val="000803AD"/>
    <w:rsid w:val="000938D3"/>
    <w:rsid w:val="000A0CB8"/>
    <w:rsid w:val="000A1F95"/>
    <w:rsid w:val="000B4F28"/>
    <w:rsid w:val="000C72F9"/>
    <w:rsid w:val="000D0D5A"/>
    <w:rsid w:val="000D4EDB"/>
    <w:rsid w:val="000E22D5"/>
    <w:rsid w:val="000E48E3"/>
    <w:rsid w:val="000F1C6C"/>
    <w:rsid w:val="00124EAE"/>
    <w:rsid w:val="001305A5"/>
    <w:rsid w:val="00134433"/>
    <w:rsid w:val="00145DDC"/>
    <w:rsid w:val="00163971"/>
    <w:rsid w:val="001759FB"/>
    <w:rsid w:val="001839DA"/>
    <w:rsid w:val="00192C23"/>
    <w:rsid w:val="00193832"/>
    <w:rsid w:val="0019672B"/>
    <w:rsid w:val="0019788A"/>
    <w:rsid w:val="001B4E4C"/>
    <w:rsid w:val="001D4592"/>
    <w:rsid w:val="00204B8C"/>
    <w:rsid w:val="00207FFD"/>
    <w:rsid w:val="00234467"/>
    <w:rsid w:val="0026377E"/>
    <w:rsid w:val="0027380B"/>
    <w:rsid w:val="00290F67"/>
    <w:rsid w:val="00295DB5"/>
    <w:rsid w:val="002E1548"/>
    <w:rsid w:val="002F1CBB"/>
    <w:rsid w:val="002F73A2"/>
    <w:rsid w:val="00317E7C"/>
    <w:rsid w:val="003251DB"/>
    <w:rsid w:val="00370540"/>
    <w:rsid w:val="0039143E"/>
    <w:rsid w:val="003919FF"/>
    <w:rsid w:val="003A5C41"/>
    <w:rsid w:val="003B3F29"/>
    <w:rsid w:val="003D23B3"/>
    <w:rsid w:val="003E2EA4"/>
    <w:rsid w:val="003F1D63"/>
    <w:rsid w:val="0040074B"/>
    <w:rsid w:val="00415592"/>
    <w:rsid w:val="0041798F"/>
    <w:rsid w:val="00417EAF"/>
    <w:rsid w:val="00485B49"/>
    <w:rsid w:val="004A78BC"/>
    <w:rsid w:val="004B2E84"/>
    <w:rsid w:val="004B40EB"/>
    <w:rsid w:val="004C549F"/>
    <w:rsid w:val="004C7CAE"/>
    <w:rsid w:val="004D5867"/>
    <w:rsid w:val="004F2F38"/>
    <w:rsid w:val="004F3D36"/>
    <w:rsid w:val="00511632"/>
    <w:rsid w:val="005163EC"/>
    <w:rsid w:val="00533EE7"/>
    <w:rsid w:val="0054581C"/>
    <w:rsid w:val="0056259E"/>
    <w:rsid w:val="00566960"/>
    <w:rsid w:val="005670DD"/>
    <w:rsid w:val="005747E8"/>
    <w:rsid w:val="00576DD2"/>
    <w:rsid w:val="0058174D"/>
    <w:rsid w:val="00582171"/>
    <w:rsid w:val="0058230C"/>
    <w:rsid w:val="005905D9"/>
    <w:rsid w:val="005B1074"/>
    <w:rsid w:val="005B5AD3"/>
    <w:rsid w:val="005B6074"/>
    <w:rsid w:val="005D6E35"/>
    <w:rsid w:val="005E23A6"/>
    <w:rsid w:val="005E567B"/>
    <w:rsid w:val="00603328"/>
    <w:rsid w:val="00605096"/>
    <w:rsid w:val="0061325C"/>
    <w:rsid w:val="00625D67"/>
    <w:rsid w:val="006551C3"/>
    <w:rsid w:val="006C328B"/>
    <w:rsid w:val="006D6CE6"/>
    <w:rsid w:val="006E729C"/>
    <w:rsid w:val="006F1766"/>
    <w:rsid w:val="00711503"/>
    <w:rsid w:val="00724015"/>
    <w:rsid w:val="00727D88"/>
    <w:rsid w:val="00754DAB"/>
    <w:rsid w:val="00780985"/>
    <w:rsid w:val="007A0CFD"/>
    <w:rsid w:val="007A270D"/>
    <w:rsid w:val="007B55E0"/>
    <w:rsid w:val="007C17B6"/>
    <w:rsid w:val="007F0BF6"/>
    <w:rsid w:val="00807B22"/>
    <w:rsid w:val="00810194"/>
    <w:rsid w:val="00826AE0"/>
    <w:rsid w:val="00844825"/>
    <w:rsid w:val="00851B94"/>
    <w:rsid w:val="00854DF3"/>
    <w:rsid w:val="008720C7"/>
    <w:rsid w:val="00883339"/>
    <w:rsid w:val="00892C2E"/>
    <w:rsid w:val="008A6BD0"/>
    <w:rsid w:val="009002D4"/>
    <w:rsid w:val="0092621E"/>
    <w:rsid w:val="00926ECD"/>
    <w:rsid w:val="00936E19"/>
    <w:rsid w:val="0094739C"/>
    <w:rsid w:val="00964A5A"/>
    <w:rsid w:val="00971C68"/>
    <w:rsid w:val="00977E58"/>
    <w:rsid w:val="009A1DD6"/>
    <w:rsid w:val="009A559A"/>
    <w:rsid w:val="009B1B87"/>
    <w:rsid w:val="009B440F"/>
    <w:rsid w:val="00A054E5"/>
    <w:rsid w:val="00A078AA"/>
    <w:rsid w:val="00A265B0"/>
    <w:rsid w:val="00A35254"/>
    <w:rsid w:val="00A44C2D"/>
    <w:rsid w:val="00A64962"/>
    <w:rsid w:val="00A75E41"/>
    <w:rsid w:val="00A8041F"/>
    <w:rsid w:val="00A83067"/>
    <w:rsid w:val="00A904FC"/>
    <w:rsid w:val="00A91750"/>
    <w:rsid w:val="00AA180A"/>
    <w:rsid w:val="00AC48EC"/>
    <w:rsid w:val="00AE329B"/>
    <w:rsid w:val="00AF1569"/>
    <w:rsid w:val="00B002EF"/>
    <w:rsid w:val="00B0561A"/>
    <w:rsid w:val="00B27037"/>
    <w:rsid w:val="00B501DB"/>
    <w:rsid w:val="00B5126D"/>
    <w:rsid w:val="00B5730A"/>
    <w:rsid w:val="00B6197B"/>
    <w:rsid w:val="00B645FF"/>
    <w:rsid w:val="00B74DD5"/>
    <w:rsid w:val="00B760E0"/>
    <w:rsid w:val="00B8406B"/>
    <w:rsid w:val="00B876FC"/>
    <w:rsid w:val="00B91B9B"/>
    <w:rsid w:val="00BB28E1"/>
    <w:rsid w:val="00BB5CA6"/>
    <w:rsid w:val="00BC5672"/>
    <w:rsid w:val="00BC56D2"/>
    <w:rsid w:val="00BF6EF7"/>
    <w:rsid w:val="00BF7B9B"/>
    <w:rsid w:val="00C06A65"/>
    <w:rsid w:val="00C14660"/>
    <w:rsid w:val="00C2643A"/>
    <w:rsid w:val="00C32E59"/>
    <w:rsid w:val="00CA60A0"/>
    <w:rsid w:val="00CB2C6A"/>
    <w:rsid w:val="00CB6CA8"/>
    <w:rsid w:val="00CC12CD"/>
    <w:rsid w:val="00CD56B0"/>
    <w:rsid w:val="00CD683D"/>
    <w:rsid w:val="00CF01CC"/>
    <w:rsid w:val="00D05B03"/>
    <w:rsid w:val="00D168B5"/>
    <w:rsid w:val="00D345AF"/>
    <w:rsid w:val="00D73CEA"/>
    <w:rsid w:val="00D75865"/>
    <w:rsid w:val="00DA5C5E"/>
    <w:rsid w:val="00DA64E8"/>
    <w:rsid w:val="00DB2908"/>
    <w:rsid w:val="00DD544F"/>
    <w:rsid w:val="00DD7CBB"/>
    <w:rsid w:val="00DF327D"/>
    <w:rsid w:val="00E139B7"/>
    <w:rsid w:val="00E176AE"/>
    <w:rsid w:val="00E57F84"/>
    <w:rsid w:val="00E84049"/>
    <w:rsid w:val="00E94AA5"/>
    <w:rsid w:val="00E95717"/>
    <w:rsid w:val="00E95D39"/>
    <w:rsid w:val="00E96948"/>
    <w:rsid w:val="00EC5DBC"/>
    <w:rsid w:val="00EE0119"/>
    <w:rsid w:val="00F02434"/>
    <w:rsid w:val="00F034B6"/>
    <w:rsid w:val="00F0727F"/>
    <w:rsid w:val="00F14D5B"/>
    <w:rsid w:val="00F30F04"/>
    <w:rsid w:val="00F4081B"/>
    <w:rsid w:val="00F67672"/>
    <w:rsid w:val="00FB66DF"/>
    <w:rsid w:val="00FD4BC5"/>
    <w:rsid w:val="00FF62F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ommaire Texte"/>
    <w:uiPriority w:val="1"/>
    <w:rsid w:val="000938D3"/>
    <w:rPr>
      <w:rFonts w:ascii="AmbNewutClassic-Light" w:eastAsia="HelveticaNeueLTStd-Roman" w:hAnsi="AmbNewutClassic-Light" w:cs="HelveticaNeueLTStd-Roman"/>
      <w:sz w:val="24"/>
      <w:lang w:val="fr-FR" w:eastAsia="fr-FR" w:bidi="fr-FR"/>
    </w:rPr>
  </w:style>
  <w:style w:type="paragraph" w:styleId="Titre1">
    <w:name w:val="heading 1"/>
    <w:aliases w:val="Titre Couverture"/>
    <w:basedOn w:val="Normal"/>
    <w:uiPriority w:val="1"/>
    <w:rsid w:val="005B6074"/>
    <w:pPr>
      <w:spacing w:before="173" w:line="225" w:lineRule="auto"/>
      <w:outlineLvl w:val="0"/>
    </w:pPr>
    <w:rPr>
      <w:rFonts w:ascii="AmbNewutClassic-Medium"/>
      <w:color w:val="FFFFFF"/>
      <w:sz w:val="110"/>
      <w:szCs w:val="110"/>
    </w:rPr>
  </w:style>
  <w:style w:type="paragraph" w:styleId="Titre2">
    <w:name w:val="heading 2"/>
    <w:aliases w:val="Titre Document"/>
    <w:basedOn w:val="Normal"/>
    <w:next w:val="Default"/>
    <w:link w:val="Titre2Car"/>
    <w:uiPriority w:val="1"/>
    <w:rsid w:val="00CB2C6A"/>
    <w:pPr>
      <w:spacing w:before="100" w:beforeAutospacing="1" w:after="100" w:afterAutospacing="1"/>
      <w:outlineLvl w:val="1"/>
    </w:pPr>
    <w:rPr>
      <w:rFonts w:ascii="Calibri" w:hAnsi="Calibri"/>
      <w:b/>
      <w:color w:val="5CCAE8"/>
      <w:sz w:val="60"/>
    </w:rPr>
  </w:style>
  <w:style w:type="paragraph" w:styleId="Titre3">
    <w:name w:val="heading 3"/>
    <w:basedOn w:val="Normal"/>
    <w:uiPriority w:val="1"/>
    <w:rsid w:val="00317E7C"/>
    <w:pPr>
      <w:spacing w:before="286" w:line="206" w:lineRule="auto"/>
      <w:ind w:right="108"/>
      <w:jc w:val="both"/>
      <w:outlineLvl w:val="2"/>
    </w:pPr>
    <w:rPr>
      <w:rFonts w:ascii="AmbNewutClassic-Heavy Medium" w:eastAsia="Helvetica Neue LT Std 75" w:hAnsi="AmbNewutClassic-Heavy Medium" w:cs="Helvetica Neue LT Std 75"/>
      <w:bCs/>
      <w:szCs w:val="24"/>
    </w:rPr>
  </w:style>
  <w:style w:type="paragraph" w:styleId="Titre4">
    <w:name w:val="heading 4"/>
    <w:aliases w:val="Titre Paragraphe"/>
    <w:basedOn w:val="Normal"/>
    <w:next w:val="Normal"/>
    <w:link w:val="Titre4Car"/>
    <w:uiPriority w:val="9"/>
    <w:unhideWhenUsed/>
    <w:rsid w:val="00163971"/>
    <w:pPr>
      <w:outlineLvl w:val="3"/>
    </w:pPr>
    <w:rPr>
      <w:rFonts w:ascii="Calibri" w:hAnsi="Calibri"/>
      <w:b/>
      <w:color w:val="5CCAE8"/>
      <w:lang w:val="pt-PT"/>
    </w:rPr>
  </w:style>
  <w:style w:type="paragraph" w:styleId="Titre5">
    <w:name w:val="heading 5"/>
    <w:aliases w:val="Titre Page"/>
    <w:basedOn w:val="Titre2"/>
    <w:next w:val="Normal"/>
    <w:link w:val="Titre5Car"/>
    <w:uiPriority w:val="9"/>
    <w:unhideWhenUsed/>
    <w:rsid w:val="00EE0119"/>
    <w:pPr>
      <w:spacing w:line="206" w:lineRule="auto"/>
      <w:outlineLvl w:val="4"/>
    </w:pPr>
    <w:rPr>
      <w:rFonts w:ascii="AmbNewutClassic-Heavy" w:hAnsi="AmbNewutClassic-Heavy"/>
      <w:sz w:val="72"/>
    </w:rPr>
  </w:style>
  <w:style w:type="paragraph" w:styleId="Titre6">
    <w:name w:val="heading 6"/>
    <w:aliases w:val="Fondation couverture"/>
    <w:basedOn w:val="Normal"/>
    <w:next w:val="Normal"/>
    <w:link w:val="Titre6Car"/>
    <w:uiPriority w:val="9"/>
    <w:unhideWhenUsed/>
    <w:rsid w:val="00780985"/>
    <w:pPr>
      <w:outlineLvl w:val="5"/>
    </w:pPr>
    <w:rPr>
      <w:noProof/>
      <w:sz w:val="16"/>
    </w:rPr>
  </w:style>
  <w:style w:type="paragraph" w:styleId="Titre7">
    <w:name w:val="heading 7"/>
    <w:aliases w:val="Texte Encadre"/>
    <w:basedOn w:val="Normal"/>
    <w:next w:val="Normal"/>
    <w:link w:val="Titre7Car"/>
    <w:uiPriority w:val="9"/>
    <w:unhideWhenUsed/>
    <w:rsid w:val="00EE0119"/>
    <w:pPr>
      <w:spacing w:line="276" w:lineRule="auto"/>
      <w:outlineLvl w:val="6"/>
    </w:pPr>
    <w:rPr>
      <w:rFonts w:ascii="AmbNewutClassic-Heavy" w:hAnsi="AmbNewutClassic-Heavy"/>
      <w:lang w:val="pt-PT"/>
    </w:rPr>
  </w:style>
  <w:style w:type="paragraph" w:styleId="Titre8">
    <w:name w:val="heading 8"/>
    <w:aliases w:val="Sous-titre Couverture"/>
    <w:basedOn w:val="Normal"/>
    <w:next w:val="Normal"/>
    <w:link w:val="Titre8Car"/>
    <w:uiPriority w:val="9"/>
    <w:semiHidden/>
    <w:unhideWhenUsed/>
    <w:rsid w:val="00977E58"/>
    <w:pPr>
      <w:keepNext/>
      <w:keepLines/>
      <w:spacing w:before="200"/>
      <w:outlineLvl w:val="7"/>
    </w:pPr>
    <w:rPr>
      <w:rFonts w:ascii="AmbNewutClassic-Medium" w:eastAsiaTheme="majorEastAsia" w:hAnsi="AmbNewutClassic-Medium" w:cstheme="majorBidi"/>
      <w:color w:val="404040" w:themeColor="text1" w:themeTint="BF"/>
      <w:sz w:val="3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4A78BC"/>
    <w:tblPr>
      <w:tblInd w:w="0" w:type="dxa"/>
      <w:tblCellMar>
        <w:top w:w="0" w:type="dxa"/>
        <w:left w:w="0" w:type="dxa"/>
        <w:bottom w:w="0" w:type="dxa"/>
        <w:right w:w="0" w:type="dxa"/>
      </w:tblCellMar>
    </w:tblPr>
  </w:style>
  <w:style w:type="paragraph" w:styleId="Corpsdetexte">
    <w:name w:val="Body Text"/>
    <w:aliases w:val="Texte courant"/>
    <w:basedOn w:val="Normal"/>
    <w:link w:val="CorpsdetexteCar"/>
    <w:uiPriority w:val="1"/>
    <w:rsid w:val="00CB2C6A"/>
    <w:pPr>
      <w:spacing w:before="159" w:line="211" w:lineRule="auto"/>
      <w:ind w:right="110"/>
      <w:jc w:val="both"/>
    </w:pPr>
    <w:rPr>
      <w:rFonts w:ascii="Calibri" w:hAnsi="Calibri"/>
      <w:sz w:val="22"/>
      <w:szCs w:val="24"/>
      <w:lang w:val="pt-PT"/>
    </w:rPr>
  </w:style>
  <w:style w:type="paragraph" w:styleId="Paragraphedeliste">
    <w:name w:val="List Paragraph"/>
    <w:basedOn w:val="Normal"/>
    <w:uiPriority w:val="1"/>
    <w:rsid w:val="004A78BC"/>
    <w:pPr>
      <w:spacing w:before="167"/>
      <w:ind w:left="513" w:right="106" w:hanging="360"/>
    </w:pPr>
  </w:style>
  <w:style w:type="paragraph" w:styleId="Pieddepage">
    <w:name w:val="footer"/>
    <w:basedOn w:val="Normal"/>
    <w:link w:val="PieddepageCar"/>
    <w:uiPriority w:val="99"/>
    <w:unhideWhenUsed/>
    <w:rsid w:val="00FD4BC5"/>
    <w:pPr>
      <w:tabs>
        <w:tab w:val="center" w:pos="4536"/>
        <w:tab w:val="right" w:pos="9072"/>
      </w:tabs>
    </w:pPr>
  </w:style>
  <w:style w:type="character" w:customStyle="1" w:styleId="PieddepageCar">
    <w:name w:val="Pied de page Car"/>
    <w:basedOn w:val="Policepardfaut"/>
    <w:link w:val="Pieddepage"/>
    <w:uiPriority w:val="99"/>
    <w:rsid w:val="00FD4BC5"/>
    <w:rPr>
      <w:rFonts w:ascii="HelveticaNeueLTStd-Roman" w:eastAsia="HelveticaNeueLTStd-Roman" w:hAnsi="HelveticaNeueLTStd-Roman" w:cs="HelveticaNeueLTStd-Roman"/>
      <w:lang w:val="fr-FR" w:eastAsia="fr-FR" w:bidi="fr-FR"/>
    </w:rPr>
  </w:style>
  <w:style w:type="character" w:styleId="Numrodepage">
    <w:name w:val="page number"/>
    <w:basedOn w:val="Policepardfaut"/>
    <w:uiPriority w:val="99"/>
    <w:semiHidden/>
    <w:unhideWhenUsed/>
    <w:rsid w:val="00FD4BC5"/>
  </w:style>
  <w:style w:type="paragraph" w:styleId="En-tte">
    <w:name w:val="header"/>
    <w:basedOn w:val="Normal"/>
    <w:link w:val="En-tteCar"/>
    <w:uiPriority w:val="99"/>
    <w:unhideWhenUsed/>
    <w:rsid w:val="006C328B"/>
    <w:pPr>
      <w:tabs>
        <w:tab w:val="center" w:pos="4536"/>
        <w:tab w:val="right" w:pos="9072"/>
      </w:tabs>
    </w:pPr>
  </w:style>
  <w:style w:type="character" w:customStyle="1" w:styleId="En-tteCar">
    <w:name w:val="En-tête Car"/>
    <w:basedOn w:val="Policepardfaut"/>
    <w:link w:val="En-tte"/>
    <w:uiPriority w:val="99"/>
    <w:rsid w:val="006C328B"/>
    <w:rPr>
      <w:rFonts w:ascii="HelveticaNeueLTStd-Roman" w:eastAsia="HelveticaNeueLTStd-Roman" w:hAnsi="HelveticaNeueLTStd-Roman" w:cs="HelveticaNeueLTStd-Roman"/>
      <w:lang w:val="fr-FR" w:eastAsia="fr-FR" w:bidi="fr-FR"/>
    </w:rPr>
  </w:style>
  <w:style w:type="character" w:styleId="Lienhypertexte">
    <w:name w:val="Hyperlink"/>
    <w:basedOn w:val="Policepardfaut"/>
    <w:uiPriority w:val="99"/>
    <w:unhideWhenUsed/>
    <w:rsid w:val="006C328B"/>
    <w:rPr>
      <w:color w:val="0000FF" w:themeColor="hyperlink"/>
      <w:u w:val="single"/>
    </w:rPr>
  </w:style>
  <w:style w:type="character" w:customStyle="1" w:styleId="Mentionnonrsolue1">
    <w:name w:val="Mention non résolue1"/>
    <w:basedOn w:val="Policepardfaut"/>
    <w:uiPriority w:val="99"/>
    <w:semiHidden/>
    <w:unhideWhenUsed/>
    <w:rsid w:val="006C328B"/>
    <w:rPr>
      <w:color w:val="605E5C"/>
      <w:shd w:val="clear" w:color="auto" w:fill="E1DFDD"/>
    </w:rPr>
  </w:style>
  <w:style w:type="table" w:styleId="Grilledutableau">
    <w:name w:val="Table Grid"/>
    <w:basedOn w:val="TableauNormal"/>
    <w:uiPriority w:val="39"/>
    <w:rsid w:val="00A35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us-titre">
    <w:name w:val="Subtitle"/>
    <w:basedOn w:val="Normal"/>
    <w:next w:val="Normal"/>
    <w:link w:val="Sous-titreCar"/>
    <w:uiPriority w:val="11"/>
    <w:rsid w:val="009A1DD6"/>
    <w:pPr>
      <w:spacing w:before="141" w:line="273" w:lineRule="auto"/>
      <w:ind w:left="153" w:right="5915"/>
    </w:pPr>
    <w:rPr>
      <w:rFonts w:ascii="AmbNewutClassic-Medium"/>
      <w:color w:val="231F20"/>
      <w:sz w:val="30"/>
    </w:rPr>
  </w:style>
  <w:style w:type="character" w:customStyle="1" w:styleId="Sous-titreCar">
    <w:name w:val="Sous-titre Car"/>
    <w:basedOn w:val="Policepardfaut"/>
    <w:link w:val="Sous-titre"/>
    <w:uiPriority w:val="11"/>
    <w:rsid w:val="009A1DD6"/>
    <w:rPr>
      <w:rFonts w:ascii="AmbNewutClassic-Medium" w:eastAsia="HelveticaNeueLTStd-Roman" w:hAnsi="HelveticaNeueLTStd-Roman" w:cs="HelveticaNeueLTStd-Roman"/>
      <w:color w:val="231F20"/>
      <w:sz w:val="30"/>
      <w:lang w:val="fr-FR" w:eastAsia="fr-FR" w:bidi="fr-FR"/>
    </w:rPr>
  </w:style>
  <w:style w:type="character" w:styleId="lev">
    <w:name w:val="Strong"/>
    <w:uiPriority w:val="22"/>
    <w:rsid w:val="009A1DD6"/>
    <w:rPr>
      <w:color w:val="231F20"/>
    </w:rPr>
  </w:style>
  <w:style w:type="character" w:customStyle="1" w:styleId="Titre4Car">
    <w:name w:val="Titre 4 Car"/>
    <w:aliases w:val="Titre Paragraphe Car"/>
    <w:basedOn w:val="Policepardfaut"/>
    <w:link w:val="Titre4"/>
    <w:uiPriority w:val="9"/>
    <w:rsid w:val="00163971"/>
    <w:rPr>
      <w:rFonts w:ascii="Calibri" w:eastAsia="HelveticaNeueLTStd-Roman" w:hAnsi="Calibri" w:cs="HelveticaNeueLTStd-Roman"/>
      <w:b/>
      <w:color w:val="5CCAE8"/>
      <w:sz w:val="24"/>
      <w:lang w:val="pt-PT" w:eastAsia="fr-FR" w:bidi="fr-FR"/>
    </w:rPr>
  </w:style>
  <w:style w:type="character" w:customStyle="1" w:styleId="Titre5Car">
    <w:name w:val="Titre 5 Car"/>
    <w:aliases w:val="Titre Page Car"/>
    <w:basedOn w:val="Policepardfaut"/>
    <w:link w:val="Titre5"/>
    <w:uiPriority w:val="9"/>
    <w:rsid w:val="00EE0119"/>
    <w:rPr>
      <w:rFonts w:ascii="AmbNewutClassic-Heavy" w:eastAsia="HelveticaNeueLTStd-Roman" w:hAnsi="AmbNewutClassic-Heavy" w:cs="HelveticaNeueLTStd-Roman"/>
      <w:color w:val="015E6F"/>
      <w:sz w:val="72"/>
      <w:lang w:val="fr-FR" w:eastAsia="fr-FR" w:bidi="fr-FR"/>
    </w:rPr>
  </w:style>
  <w:style w:type="character" w:customStyle="1" w:styleId="Titre6Car">
    <w:name w:val="Titre 6 Car"/>
    <w:aliases w:val="Fondation couverture Car"/>
    <w:basedOn w:val="Policepardfaut"/>
    <w:link w:val="Titre6"/>
    <w:uiPriority w:val="9"/>
    <w:rsid w:val="00780985"/>
    <w:rPr>
      <w:rFonts w:ascii="AmbNewutClassic-Light" w:eastAsia="HelveticaNeueLTStd-Roman" w:hAnsi="AmbNewutClassic-Light" w:cs="HelveticaNeueLTStd-Roman"/>
      <w:noProof/>
      <w:sz w:val="16"/>
      <w:lang w:val="fr-FR" w:eastAsia="fr-FR" w:bidi="fr-FR"/>
    </w:rPr>
  </w:style>
  <w:style w:type="character" w:customStyle="1" w:styleId="Titre7Car">
    <w:name w:val="Titre 7 Car"/>
    <w:aliases w:val="Texte Encadre Car"/>
    <w:basedOn w:val="Policepardfaut"/>
    <w:link w:val="Titre7"/>
    <w:uiPriority w:val="9"/>
    <w:rsid w:val="00EE0119"/>
    <w:rPr>
      <w:rFonts w:ascii="AmbNewutClassic-Heavy" w:eastAsia="HelveticaNeueLTStd-Roman" w:hAnsi="AmbNewutClassic-Heavy" w:cs="HelveticaNeueLTStd-Roman"/>
      <w:lang w:val="pt-PT" w:eastAsia="fr-FR" w:bidi="fr-FR"/>
    </w:rPr>
  </w:style>
  <w:style w:type="character" w:styleId="Numrodeligne">
    <w:name w:val="line number"/>
    <w:basedOn w:val="Policepardfaut"/>
    <w:uiPriority w:val="99"/>
    <w:semiHidden/>
    <w:unhideWhenUsed/>
    <w:rsid w:val="00065A61"/>
  </w:style>
  <w:style w:type="paragraph" w:styleId="Sansinterligne">
    <w:name w:val="No Spacing"/>
    <w:aliases w:val="Introduction Texte"/>
    <w:basedOn w:val="Titre7"/>
    <w:link w:val="SansinterligneCar"/>
    <w:uiPriority w:val="1"/>
    <w:rsid w:val="00DA5C5E"/>
    <w:rPr>
      <w:rFonts w:ascii="Calibri Light" w:hAnsi="Calibri Light" w:cs="Calibri Light"/>
      <w:b/>
      <w:szCs w:val="24"/>
    </w:rPr>
  </w:style>
  <w:style w:type="character" w:customStyle="1" w:styleId="Titre8Car">
    <w:name w:val="Titre 8 Car"/>
    <w:aliases w:val="Sous-titre Couverture Car"/>
    <w:basedOn w:val="Policepardfaut"/>
    <w:link w:val="Titre8"/>
    <w:uiPriority w:val="9"/>
    <w:semiHidden/>
    <w:rsid w:val="00977E58"/>
    <w:rPr>
      <w:rFonts w:ascii="AmbNewutClassic-Medium" w:eastAsiaTheme="majorEastAsia" w:hAnsi="AmbNewutClassic-Medium" w:cstheme="majorBidi"/>
      <w:color w:val="404040" w:themeColor="text1" w:themeTint="BF"/>
      <w:sz w:val="32"/>
      <w:szCs w:val="20"/>
      <w:lang w:val="fr-FR" w:eastAsia="fr-FR" w:bidi="fr-FR"/>
    </w:rPr>
  </w:style>
  <w:style w:type="paragraph" w:customStyle="1" w:styleId="Default">
    <w:name w:val="Default"/>
    <w:rsid w:val="008A6BD0"/>
    <w:pPr>
      <w:widowControl/>
      <w:adjustRightInd w:val="0"/>
    </w:pPr>
    <w:rPr>
      <w:rFonts w:ascii="AmbNewutClassic-Light" w:hAnsi="AmbNewutClassic-Light" w:cs="AmbNewutClassic-Light"/>
      <w:color w:val="000000"/>
      <w:sz w:val="24"/>
      <w:szCs w:val="24"/>
      <w:lang w:val="fr-FR"/>
    </w:rPr>
  </w:style>
  <w:style w:type="paragraph" w:styleId="Textedebulles">
    <w:name w:val="Balloon Text"/>
    <w:basedOn w:val="Normal"/>
    <w:link w:val="TextedebullesCar"/>
    <w:uiPriority w:val="99"/>
    <w:semiHidden/>
    <w:unhideWhenUsed/>
    <w:rsid w:val="00011B35"/>
    <w:rPr>
      <w:rFonts w:ascii="Tahoma" w:hAnsi="Tahoma" w:cs="Tahoma"/>
      <w:sz w:val="16"/>
      <w:szCs w:val="16"/>
    </w:rPr>
  </w:style>
  <w:style w:type="character" w:customStyle="1" w:styleId="TextedebullesCar">
    <w:name w:val="Texte de bulles Car"/>
    <w:basedOn w:val="Policepardfaut"/>
    <w:link w:val="Textedebulles"/>
    <w:uiPriority w:val="99"/>
    <w:semiHidden/>
    <w:rsid w:val="00011B35"/>
    <w:rPr>
      <w:rFonts w:ascii="Tahoma" w:eastAsia="HelveticaNeueLTStd-Roman" w:hAnsi="Tahoma" w:cs="Tahoma"/>
      <w:sz w:val="16"/>
      <w:szCs w:val="16"/>
      <w:lang w:val="fr-FR" w:eastAsia="fr-FR" w:bidi="fr-FR"/>
    </w:rPr>
  </w:style>
  <w:style w:type="paragraph" w:customStyle="1" w:styleId="Titredocument">
    <w:name w:val="Titre document"/>
    <w:basedOn w:val="Titre2"/>
    <w:link w:val="TitredocumentCar"/>
    <w:uiPriority w:val="1"/>
    <w:qFormat/>
    <w:rsid w:val="001B4E4C"/>
    <w:rPr>
      <w:rFonts w:asciiTheme="minorHAnsi" w:hAnsiTheme="minorHAnsi" w:cs="Calibri Light"/>
      <w:caps/>
      <w:color w:val="47D7AC"/>
      <w:lang w:val="pt-PT"/>
    </w:rPr>
  </w:style>
  <w:style w:type="paragraph" w:customStyle="1" w:styleId="Titreparagraphe">
    <w:name w:val="Titre paragraphe"/>
    <w:basedOn w:val="Titre4"/>
    <w:link w:val="TitreparagrapheCar"/>
    <w:autoRedefine/>
    <w:uiPriority w:val="1"/>
    <w:qFormat/>
    <w:rsid w:val="00417EAF"/>
    <w:rPr>
      <w:rFonts w:ascii="Calibri Light" w:hAnsi="Calibri Light" w:cs="Calibri Light"/>
      <w:caps/>
      <w:color w:val="47D7AC"/>
      <w:lang w:val="fr-FR"/>
    </w:rPr>
  </w:style>
  <w:style w:type="character" w:customStyle="1" w:styleId="Titre2Car">
    <w:name w:val="Titre 2 Car"/>
    <w:aliases w:val="Titre Document Car"/>
    <w:basedOn w:val="Policepardfaut"/>
    <w:link w:val="Titre2"/>
    <w:uiPriority w:val="1"/>
    <w:rsid w:val="002F1CBB"/>
    <w:rPr>
      <w:rFonts w:ascii="Calibri" w:eastAsia="HelveticaNeueLTStd-Roman" w:hAnsi="Calibri" w:cs="HelveticaNeueLTStd-Roman"/>
      <w:b/>
      <w:color w:val="5CCAE8"/>
      <w:sz w:val="60"/>
      <w:lang w:val="fr-FR" w:eastAsia="fr-FR" w:bidi="fr-FR"/>
    </w:rPr>
  </w:style>
  <w:style w:type="character" w:customStyle="1" w:styleId="TitredocumentCar">
    <w:name w:val="Titre document Car"/>
    <w:basedOn w:val="Titre2Car"/>
    <w:link w:val="Titredocument"/>
    <w:uiPriority w:val="1"/>
    <w:rsid w:val="001B4E4C"/>
    <w:rPr>
      <w:rFonts w:ascii="Calibri" w:eastAsia="HelveticaNeueLTStd-Roman" w:hAnsi="Calibri" w:cs="Calibri Light"/>
      <w:b/>
      <w:caps/>
      <w:color w:val="47D7AC"/>
      <w:sz w:val="60"/>
      <w:lang w:val="pt-PT" w:eastAsia="fr-FR" w:bidi="fr-FR"/>
    </w:rPr>
  </w:style>
  <w:style w:type="paragraph" w:customStyle="1" w:styleId="Textecourantdudocument">
    <w:name w:val="Texte courant du document"/>
    <w:basedOn w:val="Corpsdetexte"/>
    <w:link w:val="TextecourantdudocumentCar"/>
    <w:uiPriority w:val="1"/>
    <w:qFormat/>
    <w:rsid w:val="002F1CBB"/>
    <w:rPr>
      <w:rFonts w:ascii="Calibri Light" w:hAnsi="Calibri Light" w:cs="Calibri Light"/>
      <w:szCs w:val="22"/>
    </w:rPr>
  </w:style>
  <w:style w:type="character" w:customStyle="1" w:styleId="TitreparagrapheCar">
    <w:name w:val="Titre paragraphe Car"/>
    <w:basedOn w:val="Titre4Car"/>
    <w:link w:val="Titreparagraphe"/>
    <w:uiPriority w:val="1"/>
    <w:rsid w:val="00417EAF"/>
    <w:rPr>
      <w:rFonts w:ascii="Calibri Light" w:eastAsia="HelveticaNeueLTStd-Roman" w:hAnsi="Calibri Light" w:cs="Calibri Light"/>
      <w:b/>
      <w:caps/>
      <w:color w:val="47D7AC"/>
      <w:sz w:val="24"/>
      <w:lang w:val="fr-FR" w:eastAsia="fr-FR" w:bidi="fr-FR"/>
    </w:rPr>
  </w:style>
  <w:style w:type="character" w:customStyle="1" w:styleId="CorpsdetexteCar">
    <w:name w:val="Corps de texte Car"/>
    <w:aliases w:val="Texte courant Car"/>
    <w:basedOn w:val="Policepardfaut"/>
    <w:link w:val="Corpsdetexte"/>
    <w:uiPriority w:val="1"/>
    <w:rsid w:val="002F1CBB"/>
    <w:rPr>
      <w:rFonts w:ascii="Calibri" w:eastAsia="HelveticaNeueLTStd-Roman" w:hAnsi="Calibri" w:cs="HelveticaNeueLTStd-Roman"/>
      <w:szCs w:val="24"/>
      <w:lang w:val="pt-PT" w:eastAsia="fr-FR" w:bidi="fr-FR"/>
    </w:rPr>
  </w:style>
  <w:style w:type="character" w:customStyle="1" w:styleId="TextecourantdudocumentCar">
    <w:name w:val="Texte courant du document Car"/>
    <w:basedOn w:val="CorpsdetexteCar"/>
    <w:link w:val="Textecourantdudocument"/>
    <w:uiPriority w:val="1"/>
    <w:rsid w:val="002F1CBB"/>
    <w:rPr>
      <w:rFonts w:ascii="Calibri Light" w:eastAsia="HelveticaNeueLTStd-Roman" w:hAnsi="Calibri Light" w:cs="Calibri Light"/>
      <w:szCs w:val="24"/>
      <w:lang w:val="pt-PT" w:eastAsia="fr-FR" w:bidi="fr-FR"/>
    </w:rPr>
  </w:style>
  <w:style w:type="paragraph" w:customStyle="1" w:styleId="Dateetlieu">
    <w:name w:val="Date et lieu"/>
    <w:basedOn w:val="Sansinterligne"/>
    <w:link w:val="DateetlieuCar"/>
    <w:uiPriority w:val="1"/>
    <w:qFormat/>
    <w:rsid w:val="00DB2908"/>
  </w:style>
  <w:style w:type="paragraph" w:customStyle="1" w:styleId="Sous-titredocument">
    <w:name w:val="Sous-titre document"/>
    <w:basedOn w:val="Normal"/>
    <w:link w:val="Sous-titredocumentCar"/>
    <w:uiPriority w:val="1"/>
    <w:qFormat/>
    <w:rsid w:val="000E22D5"/>
    <w:pPr>
      <w:spacing w:line="280" w:lineRule="exact"/>
      <w:ind w:right="3"/>
    </w:pPr>
    <w:rPr>
      <w:rFonts w:asciiTheme="minorHAnsi" w:hAnsiTheme="minorHAnsi" w:cstheme="minorHAnsi"/>
      <w:b/>
      <w:caps/>
      <w:color w:val="FFFFFF" w:themeColor="background1"/>
      <w:szCs w:val="24"/>
      <w:shd w:val="clear" w:color="auto" w:fill="47D7AC"/>
    </w:rPr>
  </w:style>
  <w:style w:type="character" w:customStyle="1" w:styleId="SansinterligneCar">
    <w:name w:val="Sans interligne Car"/>
    <w:aliases w:val="Introduction Texte Car"/>
    <w:basedOn w:val="Titre7Car"/>
    <w:link w:val="Sansinterligne"/>
    <w:uiPriority w:val="1"/>
    <w:rsid w:val="00DB2908"/>
    <w:rPr>
      <w:rFonts w:ascii="Calibri Light" w:eastAsia="HelveticaNeueLTStd-Roman" w:hAnsi="Calibri Light" w:cs="Calibri Light"/>
      <w:b/>
      <w:sz w:val="24"/>
      <w:szCs w:val="24"/>
      <w:lang w:val="pt-PT" w:eastAsia="fr-FR" w:bidi="fr-FR"/>
    </w:rPr>
  </w:style>
  <w:style w:type="character" w:customStyle="1" w:styleId="DateetlieuCar">
    <w:name w:val="Date et lieu Car"/>
    <w:basedOn w:val="SansinterligneCar"/>
    <w:link w:val="Dateetlieu"/>
    <w:uiPriority w:val="1"/>
    <w:rsid w:val="00DB2908"/>
    <w:rPr>
      <w:rFonts w:ascii="Calibri Light" w:eastAsia="HelveticaNeueLTStd-Roman" w:hAnsi="Calibri Light" w:cs="Calibri Light"/>
      <w:b/>
      <w:sz w:val="24"/>
      <w:szCs w:val="24"/>
      <w:lang w:val="pt-PT" w:eastAsia="fr-FR" w:bidi="fr-FR"/>
    </w:rPr>
  </w:style>
  <w:style w:type="paragraph" w:styleId="NormalWeb">
    <w:name w:val="Normal (Web)"/>
    <w:basedOn w:val="Normal"/>
    <w:uiPriority w:val="99"/>
    <w:semiHidden/>
    <w:unhideWhenUsed/>
    <w:rsid w:val="009A559A"/>
    <w:pPr>
      <w:widowControl/>
      <w:autoSpaceDE/>
      <w:autoSpaceDN/>
      <w:spacing w:before="100" w:beforeAutospacing="1" w:after="100" w:afterAutospacing="1"/>
    </w:pPr>
    <w:rPr>
      <w:rFonts w:ascii="Times New Roman" w:eastAsia="Times New Roman" w:hAnsi="Times New Roman" w:cs="Times New Roman"/>
      <w:szCs w:val="24"/>
      <w:lang w:bidi="ar-SA"/>
    </w:rPr>
  </w:style>
  <w:style w:type="character" w:customStyle="1" w:styleId="Sous-titredocumentCar">
    <w:name w:val="Sous-titre document Car"/>
    <w:basedOn w:val="TitredocumentCar"/>
    <w:link w:val="Sous-titredocument"/>
    <w:uiPriority w:val="1"/>
    <w:rsid w:val="000E22D5"/>
    <w:rPr>
      <w:rFonts w:ascii="Calibri" w:eastAsia="HelveticaNeueLTStd-Roman" w:hAnsi="Calibri" w:cstheme="minorHAnsi"/>
      <w:b/>
      <w:caps/>
      <w:color w:val="FFFFFF" w:themeColor="background1"/>
      <w:sz w:val="24"/>
      <w:szCs w:val="24"/>
      <w:lang w:val="fr-FR" w:eastAsia="fr-FR" w:bidi="fr-FR"/>
    </w:rPr>
  </w:style>
  <w:style w:type="paragraph" w:customStyle="1" w:styleId="En-tetePiedpage">
    <w:name w:val="En-tete/Pied page"/>
    <w:basedOn w:val="Pieddepage"/>
    <w:link w:val="En-tetePiedpageCar"/>
    <w:uiPriority w:val="1"/>
    <w:qFormat/>
    <w:rsid w:val="00B27037"/>
    <w:rPr>
      <w:rFonts w:ascii="Calibri Light" w:hAnsi="Calibri Light" w:cs="Calibri Light"/>
      <w:sz w:val="16"/>
      <w:szCs w:val="16"/>
    </w:rPr>
  </w:style>
  <w:style w:type="character" w:customStyle="1" w:styleId="En-tetePiedpageCar">
    <w:name w:val="En-tete/Pied page Car"/>
    <w:basedOn w:val="PieddepageCar"/>
    <w:link w:val="En-tetePiedpage"/>
    <w:uiPriority w:val="1"/>
    <w:rsid w:val="00B27037"/>
    <w:rPr>
      <w:rFonts w:ascii="Calibri Light" w:eastAsia="HelveticaNeueLTStd-Roman" w:hAnsi="Calibri Light" w:cs="Calibri Light"/>
      <w:sz w:val="16"/>
      <w:szCs w:val="16"/>
      <w:lang w:val="fr-FR" w:eastAsia="fr-FR" w:bidi="fr-FR"/>
    </w:rPr>
  </w:style>
</w:styles>
</file>

<file path=word/webSettings.xml><?xml version="1.0" encoding="utf-8"?>
<w:webSettings xmlns:r="http://schemas.openxmlformats.org/officeDocument/2006/relationships" xmlns:w="http://schemas.openxmlformats.org/wordprocessingml/2006/main">
  <w:divs>
    <w:div w:id="556431624">
      <w:bodyDiv w:val="1"/>
      <w:marLeft w:val="0"/>
      <w:marRight w:val="0"/>
      <w:marTop w:val="0"/>
      <w:marBottom w:val="0"/>
      <w:divBdr>
        <w:top w:val="none" w:sz="0" w:space="0" w:color="auto"/>
        <w:left w:val="none" w:sz="0" w:space="0" w:color="auto"/>
        <w:bottom w:val="none" w:sz="0" w:space="0" w:color="auto"/>
        <w:right w:val="none" w:sz="0" w:space="0" w:color="auto"/>
      </w:divBdr>
    </w:div>
    <w:div w:id="1251426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iup.fr/le-plan-de-relan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930cc04-e121-453a-a4b6-20c8b6086595">SFQ7DZP5NXVN-81-77</_dlc_DocId>
    <_dlc_DocIdUrl xmlns="f930cc04-e121-453a-a4b6-20c8b6086595">
      <Url>https://intranet.ciup.fr/services/Communication/_layouts/15/DocIdRedir.aspx?ID=SFQ7DZP5NXVN-81-77</Url>
      <Description>SFQ7DZP5NXVN-81-77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F5C51E2248FB14283239FF6AB4EE126" ma:contentTypeVersion="0" ma:contentTypeDescription="Crée un document." ma:contentTypeScope="" ma:versionID="7ec329bd08b20ff791ae02d366c4fb35">
  <xsd:schema xmlns:xsd="http://www.w3.org/2001/XMLSchema" xmlns:xs="http://www.w3.org/2001/XMLSchema" xmlns:p="http://schemas.microsoft.com/office/2006/metadata/properties" xmlns:ns2="f930cc04-e121-453a-a4b6-20c8b6086595" targetNamespace="http://schemas.microsoft.com/office/2006/metadata/properties" ma:root="true" ma:fieldsID="f41249e5bf0aa067c7511e7b911d383f" ns2:_="">
    <xsd:import namespace="f930cc04-e121-453a-a4b6-20c8b608659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0cc04-e121-453a-a4b6-20c8b6086595"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458FF-D6F6-43B3-94AB-C33ABDB83B2E}">
  <ds:schemaRefs>
    <ds:schemaRef ds:uri="http://schemas.microsoft.com/office/2006/metadata/properties"/>
    <ds:schemaRef ds:uri="http://schemas.microsoft.com/office/infopath/2007/PartnerControls"/>
    <ds:schemaRef ds:uri="f930cc04-e121-453a-a4b6-20c8b6086595"/>
  </ds:schemaRefs>
</ds:datastoreItem>
</file>

<file path=customXml/itemProps2.xml><?xml version="1.0" encoding="utf-8"?>
<ds:datastoreItem xmlns:ds="http://schemas.openxmlformats.org/officeDocument/2006/customXml" ds:itemID="{5CF0B578-ED6E-4FAA-A699-A8B1E54D63E2}">
  <ds:schemaRefs>
    <ds:schemaRef ds:uri="http://schemas.microsoft.com/sharepoint/v3/contenttype/forms"/>
  </ds:schemaRefs>
</ds:datastoreItem>
</file>

<file path=customXml/itemProps3.xml><?xml version="1.0" encoding="utf-8"?>
<ds:datastoreItem xmlns:ds="http://schemas.openxmlformats.org/officeDocument/2006/customXml" ds:itemID="{1D141A4E-4235-484A-90B6-87CD55AECE7E}">
  <ds:schemaRefs>
    <ds:schemaRef ds:uri="http://schemas.microsoft.com/sharepoint/events"/>
  </ds:schemaRefs>
</ds:datastoreItem>
</file>

<file path=customXml/itemProps4.xml><?xml version="1.0" encoding="utf-8"?>
<ds:datastoreItem xmlns:ds="http://schemas.openxmlformats.org/officeDocument/2006/customXml" ds:itemID="{B984CB84-7B80-4CF5-AA06-C38A91EB5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30cc04-e121-453a-a4b6-20c8b60865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E26704-909A-49D0-BAAE-D9095285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2090</Words>
  <Characters>11499</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CIUP</Company>
  <LinksUpToDate>false</LinksUpToDate>
  <CharactersWithSpaces>13562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DIAS</dc:creator>
  <cp:lastModifiedBy>utilisateur</cp:lastModifiedBy>
  <cp:revision>3</cp:revision>
  <cp:lastPrinted>2018-11-12T09:09:00Z</cp:lastPrinted>
  <dcterms:created xsi:type="dcterms:W3CDTF">2026-01-18T11:01:00Z</dcterms:created>
  <dcterms:modified xsi:type="dcterms:W3CDTF">2026-01-18T11:01:00Z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2018-09-27T00:00:00Z</vt:filetime>
  </property>
  <property fmtid="{D5CDD505-2E9C-101B-9397-08002B2CF9AE}" pid="3" name="Creator">
    <vt:lpwstr>Adobe InDesign CC 13.1 (Macintosh)</vt:lpwstr>
  </property>
  <property fmtid="{D5CDD505-2E9C-101B-9397-08002B2CF9AE}" pid="4" name="LastSaved">
    <vt:filetime>2018-09-28T00:00:00Z</vt:filetime>
  </property>
  <property fmtid="{D5CDD505-2E9C-101B-9397-08002B2CF9AE}" pid="5" name="ContentTypeId">
    <vt:lpwstr>0x0101005F5C51E2248FB14283239FF6AB4EE126</vt:lpwstr>
  </property>
  <property fmtid="{D5CDD505-2E9C-101B-9397-08002B2CF9AE}" pid="6" name="_dlc_DocIdItemGuid">
    <vt:lpwstr>6e5dd36c-69ed-452f-ae5a-bb5dad35d48f</vt:lpwstr>
  </property>
</Properties>
</file>